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E8214A">
      <w:pPr>
        <w:keepNext w:val="0"/>
        <w:keepLines w:val="0"/>
        <w:pageBreakBefore w:val="0"/>
        <w:widowControl w:val="0"/>
        <w:kinsoku/>
        <w:wordWrap/>
        <w:overflowPunct/>
        <w:topLinePunct w:val="0"/>
        <w:bidi w:val="0"/>
        <w:snapToGrid/>
        <w:spacing w:line="600" w:lineRule="exact"/>
        <w:ind w:firstLine="645"/>
        <w:jc w:val="center"/>
        <w:rPr>
          <w:rFonts w:hint="eastAsia" w:ascii="方正小标宋简体" w:hAnsi="方正小标宋简体" w:eastAsia="方正小标宋简体" w:cs="方正小标宋简体"/>
          <w:spacing w:val="0"/>
          <w:sz w:val="32"/>
          <w:szCs w:val="32"/>
          <w:lang w:val="en-US" w:eastAsia="zh-CN"/>
        </w:rPr>
      </w:pPr>
      <w:r>
        <w:rPr>
          <w:rFonts w:hint="eastAsia" w:ascii="方正小标宋简体" w:hAnsi="方正小标宋简体" w:eastAsia="方正小标宋简体" w:cs="方正小标宋简体"/>
          <w:spacing w:val="0"/>
          <w:sz w:val="32"/>
          <w:szCs w:val="32"/>
          <w:lang w:val="en-US" w:eastAsia="zh-CN"/>
        </w:rPr>
        <w:t>2026年度重点项目指南</w:t>
      </w:r>
      <w:bookmarkStart w:id="8" w:name="_GoBack"/>
      <w:bookmarkEnd w:id="8"/>
    </w:p>
    <w:p w14:paraId="63AD10FA">
      <w:pPr>
        <w:keepNext w:val="0"/>
        <w:keepLines w:val="0"/>
        <w:pageBreakBefore w:val="0"/>
        <w:widowControl w:val="0"/>
        <w:kinsoku/>
        <w:wordWrap/>
        <w:overflowPunct/>
        <w:topLinePunct w:val="0"/>
        <w:bidi w:val="0"/>
        <w:snapToGrid/>
        <w:spacing w:line="600" w:lineRule="exact"/>
        <w:rPr>
          <w:rFonts w:ascii="Times New Roman" w:hAnsi="Times New Roman" w:eastAsia="黑体" w:cs="Times New Roman"/>
          <w:spacing w:val="0"/>
          <w:sz w:val="32"/>
          <w:szCs w:val="32"/>
        </w:rPr>
      </w:pPr>
      <w:r>
        <w:rPr>
          <w:rFonts w:hint="eastAsia" w:ascii="Times New Roman" w:eastAsia="黑体" w:cs="Times New Roman"/>
          <w:spacing w:val="0"/>
          <w:sz w:val="32"/>
          <w:szCs w:val="32"/>
          <w:lang w:val="en-US" w:eastAsia="zh-CN"/>
        </w:rPr>
        <w:t>一</w:t>
      </w:r>
      <w:r>
        <w:rPr>
          <w:rFonts w:ascii="Times New Roman" w:hAnsi="Times New Roman" w:eastAsia="黑体" w:cs="Times New Roman"/>
          <w:spacing w:val="0"/>
          <w:sz w:val="32"/>
          <w:szCs w:val="32"/>
        </w:rPr>
        <w:t>、重点项目</w:t>
      </w:r>
      <w:r>
        <w:rPr>
          <w:rFonts w:hint="default" w:ascii="Times New Roman" w:hAnsi="Times New Roman" w:eastAsia="黑体" w:cs="Times New Roman"/>
          <w:spacing w:val="0"/>
          <w:sz w:val="32"/>
          <w:szCs w:val="32"/>
        </w:rPr>
        <w:t>（指南代码：</w:t>
      </w:r>
      <w:r>
        <w:rPr>
          <w:rFonts w:hint="default" w:ascii="Times New Roman" w:hAnsi="Times New Roman" w:eastAsia="黑体" w:cs="Times New Roman"/>
          <w:spacing w:val="0"/>
          <w:sz w:val="32"/>
          <w:szCs w:val="32"/>
          <w:lang w:val="en-US" w:eastAsia="zh-CN"/>
        </w:rPr>
        <w:t>1010402</w:t>
      </w:r>
      <w:r>
        <w:rPr>
          <w:rFonts w:hint="default" w:ascii="Times New Roman" w:hAnsi="Times New Roman" w:eastAsia="黑体" w:cs="Times New Roman"/>
          <w:spacing w:val="0"/>
          <w:sz w:val="32"/>
          <w:szCs w:val="32"/>
        </w:rPr>
        <w:t>）</w:t>
      </w:r>
    </w:p>
    <w:p w14:paraId="2E8992AE">
      <w:pPr>
        <w:keepNext w:val="0"/>
        <w:keepLines w:val="0"/>
        <w:pageBreakBefore w:val="0"/>
        <w:widowControl w:val="0"/>
        <w:kinsoku/>
        <w:wordWrap/>
        <w:overflowPunct/>
        <w:topLinePunct w:val="0"/>
        <w:bidi w:val="0"/>
        <w:snapToGrid/>
        <w:spacing w:line="600" w:lineRule="exact"/>
        <w:ind w:firstLine="640" w:firstLineChars="200"/>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资助金额每项50万元，</w:t>
      </w:r>
      <w:r>
        <w:rPr>
          <w:rFonts w:hint="eastAsia" w:ascii="Times New Roman" w:hAnsi="Times New Roman" w:eastAsia="仿宋_GB2312" w:cs="Times New Roman"/>
          <w:spacing w:val="0"/>
          <w:sz w:val="32"/>
          <w:szCs w:val="32"/>
        </w:rPr>
        <w:t>项目执行期</w:t>
      </w:r>
      <w:r>
        <w:rPr>
          <w:rFonts w:ascii="Times New Roman" w:hAnsi="Times New Roman" w:eastAsia="仿宋_GB2312" w:cs="Times New Roman"/>
          <w:spacing w:val="0"/>
          <w:sz w:val="32"/>
          <w:szCs w:val="32"/>
        </w:rPr>
        <w:t xml:space="preserve">不超过3年。 </w:t>
      </w:r>
    </w:p>
    <w:p w14:paraId="16677C73">
      <w:pPr>
        <w:keepNext w:val="0"/>
        <w:keepLines w:val="0"/>
        <w:pageBreakBefore w:val="0"/>
        <w:widowControl w:val="0"/>
        <w:kinsoku/>
        <w:wordWrap/>
        <w:overflowPunct/>
        <w:topLinePunct w:val="0"/>
        <w:bidi w:val="0"/>
        <w:snapToGrid/>
        <w:spacing w:line="600" w:lineRule="exact"/>
        <w:ind w:firstLine="640" w:firstLineChars="200"/>
        <w:rPr>
          <w:rFonts w:hint="default" w:ascii="Times New Roman" w:hAnsi="Times New Roman" w:eastAsia="楷体_GB2312" w:cs="Times New Roman"/>
          <w:spacing w:val="0"/>
          <w:sz w:val="32"/>
          <w:szCs w:val="32"/>
        </w:rPr>
      </w:pPr>
      <w:r>
        <w:rPr>
          <w:rFonts w:hint="default" w:ascii="Times New Roman" w:hAnsi="Times New Roman" w:eastAsia="楷体_GB2312" w:cs="Times New Roman"/>
          <w:spacing w:val="0"/>
          <w:sz w:val="32"/>
          <w:szCs w:val="32"/>
        </w:rPr>
        <w:t>（一）年度资助领域和研究方向</w:t>
      </w:r>
    </w:p>
    <w:p w14:paraId="45A4499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bookmarkStart w:id="0" w:name="OLE_LINK13"/>
      <w:r>
        <w:rPr>
          <w:rFonts w:hint="eastAsia" w:ascii="Times New Roman" w:hAnsi="Times New Roman" w:eastAsia="仿宋_GB2312" w:cs="Times New Roman"/>
          <w:b/>
          <w:bCs/>
          <w:spacing w:val="0"/>
          <w:sz w:val="32"/>
          <w:szCs w:val="32"/>
        </w:rPr>
        <w:t>1.呼吸道病原所致急性肺损伤的精准治疗新策略</w:t>
      </w:r>
      <w:r>
        <w:rPr>
          <w:rFonts w:ascii="Times New Roman" w:hAnsi="Times New Roman" w:eastAsia="仿宋_GB2312" w:cs="Times New Roman"/>
          <w:spacing w:val="0"/>
          <w:sz w:val="32"/>
          <w:szCs w:val="32"/>
        </w:rPr>
        <w:t>（申报学科代码1选择</w:t>
      </w:r>
      <w:r>
        <w:rPr>
          <w:rFonts w:hint="eastAsia" w:ascii="Times New Roman" w:hAnsi="Times New Roman" w:eastAsia="仿宋_GB2312" w:cs="Times New Roman"/>
          <w:bCs/>
          <w:spacing w:val="0"/>
          <w:sz w:val="32"/>
          <w:szCs w:val="32"/>
        </w:rPr>
        <w:t>H01</w:t>
      </w:r>
      <w:r>
        <w:rPr>
          <w:rFonts w:ascii="Times New Roman" w:hAnsi="Times New Roman" w:eastAsia="仿宋_GB2312" w:cs="Times New Roman"/>
          <w:spacing w:val="0"/>
          <w:sz w:val="32"/>
          <w:szCs w:val="32"/>
        </w:rPr>
        <w:t>的下属代码）</w:t>
      </w:r>
    </w:p>
    <w:p w14:paraId="16E64E2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聚焦肺炎克雷伯菌、H9N2禽流感病毒等病原体所致急性肺损伤，基于临床样本和/或体内外模型，利用多组学数据，以病原学及线粒体与内质网互作、细胞凋亡、细胞自噬、铁死亡等生物学过程为核心切入点，寻找特定病原体与宿主之间博弈导致急性肺损伤的关键靶点；探索针对关键分子靶点的干预措施并寻求针对病原体的靶向治疗方法（如噬菌体、拮抗因子），以实现对病原体和宿主免疫的“双重精准调控”，为呼吸道病原所致急性肺损伤提供治疗新策略。</w:t>
      </w:r>
    </w:p>
    <w:bookmarkEnd w:id="0"/>
    <w:p w14:paraId="34A069D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构建匹配临床信息的病原体库；发现呼吸道病原致肺损伤的关键靶标2</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5个；筛选通路关键拮抗因子1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2个；形成精准靶向治疗方案1个。</w:t>
      </w:r>
    </w:p>
    <w:p w14:paraId="1EF7777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2</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自身免疫相关性疾病的预测、诊治及疫苗相关产品研发</w:t>
      </w:r>
      <w:r>
        <w:rPr>
          <w:rFonts w:ascii="Times New Roman" w:hAnsi="Times New Roman" w:eastAsia="仿宋_GB2312" w:cs="Times New Roman"/>
          <w:bCs/>
          <w:spacing w:val="0"/>
          <w:sz w:val="32"/>
          <w:szCs w:val="32"/>
        </w:rPr>
        <w:t>（申报学科代码1选择H</w:t>
      </w:r>
      <w:r>
        <w:rPr>
          <w:rFonts w:hint="eastAsia" w:ascii="Times New Roman" w:hAnsi="Times New Roman" w:eastAsia="仿宋_GB2312" w:cs="Times New Roman"/>
          <w:bCs/>
          <w:spacing w:val="0"/>
          <w:sz w:val="32"/>
          <w:szCs w:val="32"/>
        </w:rPr>
        <w:t>01、H10</w:t>
      </w:r>
      <w:r>
        <w:rPr>
          <w:rFonts w:ascii="Times New Roman" w:hAnsi="Times New Roman" w:eastAsia="仿宋_GB2312" w:cs="Times New Roman"/>
          <w:bCs/>
          <w:spacing w:val="0"/>
          <w:sz w:val="32"/>
          <w:szCs w:val="32"/>
        </w:rPr>
        <w:t>的下属代码）</w:t>
      </w:r>
    </w:p>
    <w:p w14:paraId="1CF1CDE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spacing w:val="0"/>
          <w:sz w:val="32"/>
          <w:szCs w:val="32"/>
        </w:rPr>
        <w:t>研究内容：</w:t>
      </w:r>
      <w:r>
        <w:rPr>
          <w:rFonts w:hint="eastAsia" w:ascii="Times New Roman" w:hAnsi="Times New Roman" w:eastAsia="仿宋_GB2312" w:cs="Times New Roman"/>
          <w:bCs/>
          <w:spacing w:val="0"/>
          <w:sz w:val="32"/>
          <w:szCs w:val="32"/>
        </w:rPr>
        <w:t>聚焦呼吸道病毒感染后的免疫状态改变、病毒疫苗增强性疾病及自身免疫性疾病，</w:t>
      </w:r>
      <w:r>
        <w:rPr>
          <w:rFonts w:hint="eastAsia" w:ascii="Times New Roman" w:hAnsi="Times New Roman" w:eastAsia="仿宋_GB2312" w:cs="Times New Roman"/>
          <w:spacing w:val="0"/>
          <w:sz w:val="32"/>
          <w:szCs w:val="32"/>
        </w:rPr>
        <w:t>阐明呼吸道病毒感染引起免疫保护的作用及机制，</w:t>
      </w:r>
      <w:r>
        <w:rPr>
          <w:rFonts w:hint="eastAsia" w:ascii="Times New Roman" w:hAnsi="Times New Roman" w:eastAsia="仿宋_GB2312" w:cs="Times New Roman"/>
          <w:bCs/>
          <w:spacing w:val="0"/>
          <w:sz w:val="32"/>
          <w:szCs w:val="32"/>
        </w:rPr>
        <w:t>分析疫苗FI-RSV诱导的训练DC的代谢谱和转录谱，明确关键的差异代谢中间产物，探索代谢佐剂的安全性和保护性</w:t>
      </w:r>
      <w:r>
        <w:rPr>
          <w:rFonts w:hint="eastAsia" w:ascii="Times New Roman" w:hAnsi="Times New Roman" w:eastAsia="仿宋_GB2312" w:cs="Times New Roman"/>
          <w:spacing w:val="0"/>
          <w:sz w:val="32"/>
          <w:szCs w:val="32"/>
        </w:rPr>
        <w:t>；聚焦免疫紊乱导致的自身免疫相关疾病，从免疫细胞增殖及功能障碍角度，基于T细胞基因工程改造，开发靶向干预新技术和新策略。</w:t>
      </w:r>
    </w:p>
    <w:p w14:paraId="3D26EE09">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等线" w:cs="Times New Roman"/>
          <w:spacing w:val="0"/>
          <w:sz w:val="21"/>
          <w:szCs w:val="2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bCs/>
          <w:spacing w:val="0"/>
          <w:sz w:val="32"/>
          <w:szCs w:val="32"/>
        </w:rPr>
        <w:t>研发具有临床转化潜力的疾病预测模型1</w:t>
      </w:r>
      <w:r>
        <w:rPr>
          <w:rFonts w:hint="eastAsia" w:ascii="Times New Roman" w:hAnsi="Times New Roman" w:eastAsia="仿宋_GB2312" w:cs="Times New Roman"/>
          <w:bCs/>
          <w:spacing w:val="0"/>
          <w:sz w:val="32"/>
          <w:szCs w:val="32"/>
          <w:lang w:eastAsia="zh-CN"/>
        </w:rPr>
        <w:t>—</w:t>
      </w:r>
      <w:r>
        <w:rPr>
          <w:rFonts w:hint="eastAsia" w:ascii="Times New Roman" w:hAnsi="Times New Roman" w:eastAsia="仿宋_GB2312" w:cs="Times New Roman"/>
          <w:bCs/>
          <w:spacing w:val="0"/>
          <w:sz w:val="32"/>
          <w:szCs w:val="32"/>
        </w:rPr>
        <w:t>2个或基于关键靶点的治疗新技术1</w:t>
      </w:r>
      <w:r>
        <w:rPr>
          <w:rFonts w:hint="eastAsia" w:ascii="Times New Roman" w:hAnsi="Times New Roman" w:eastAsia="仿宋_GB2312" w:cs="Times New Roman"/>
          <w:bCs/>
          <w:spacing w:val="0"/>
          <w:sz w:val="32"/>
          <w:szCs w:val="32"/>
          <w:lang w:eastAsia="zh-CN"/>
        </w:rPr>
        <w:t>—</w:t>
      </w:r>
      <w:r>
        <w:rPr>
          <w:rFonts w:hint="eastAsia" w:ascii="Times New Roman" w:hAnsi="Times New Roman" w:eastAsia="仿宋_GB2312" w:cs="Times New Roman"/>
          <w:bCs/>
          <w:spacing w:val="0"/>
          <w:sz w:val="32"/>
          <w:szCs w:val="32"/>
        </w:rPr>
        <w:t>2个；</w:t>
      </w:r>
      <w:r>
        <w:rPr>
          <w:rFonts w:hint="eastAsia" w:ascii="Times New Roman" w:hAnsi="Times New Roman" w:eastAsia="仿宋_GB2312" w:cs="Times New Roman"/>
          <w:spacing w:val="0"/>
          <w:sz w:val="32"/>
          <w:szCs w:val="32"/>
        </w:rPr>
        <w:t>精准发现代谢佐剂1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2种；形成基于免疫预适应或细胞死亡调控的临床干预方案1种</w:t>
      </w:r>
      <w:r>
        <w:rPr>
          <w:rFonts w:hint="eastAsia" w:ascii="Times New Roman" w:hAnsi="Times New Roman" w:eastAsia="仿宋_GB2312" w:cs="Times New Roman"/>
          <w:bCs/>
          <w:spacing w:val="0"/>
          <w:sz w:val="32"/>
          <w:szCs w:val="32"/>
        </w:rPr>
        <w:t>。</w:t>
      </w:r>
    </w:p>
    <w:p w14:paraId="1DDFE8B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Cs/>
          <w:color w:val="EE0000"/>
          <w:spacing w:val="0"/>
          <w:sz w:val="32"/>
          <w:szCs w:val="32"/>
        </w:rPr>
      </w:pPr>
      <w:r>
        <w:rPr>
          <w:rFonts w:hint="eastAsia" w:ascii="Times New Roman" w:hAnsi="Times New Roman" w:eastAsia="仿宋_GB2312" w:cs="Times New Roman"/>
          <w:b/>
          <w:bCs/>
          <w:spacing w:val="0"/>
          <w:sz w:val="32"/>
          <w:szCs w:val="32"/>
        </w:rPr>
        <w:t>3</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急慢性呼吸系统疾病的免疫调控机制及精准治疗</w:t>
      </w:r>
      <w:r>
        <w:rPr>
          <w:rFonts w:ascii="Times New Roman" w:hAnsi="Times New Roman" w:eastAsia="仿宋_GB2312" w:cs="Times New Roman"/>
          <w:bCs/>
          <w:spacing w:val="0"/>
          <w:sz w:val="32"/>
          <w:szCs w:val="32"/>
        </w:rPr>
        <w:t>（申报学科代码1选择H0</w:t>
      </w:r>
      <w:r>
        <w:rPr>
          <w:rFonts w:hint="eastAsia" w:ascii="Times New Roman" w:hAnsi="Times New Roman" w:eastAsia="仿宋_GB2312" w:cs="Times New Roman"/>
          <w:bCs/>
          <w:spacing w:val="0"/>
          <w:sz w:val="32"/>
          <w:szCs w:val="32"/>
        </w:rPr>
        <w:t>1、H26</w:t>
      </w:r>
      <w:r>
        <w:rPr>
          <w:rFonts w:ascii="Times New Roman" w:hAnsi="Times New Roman" w:eastAsia="仿宋_GB2312" w:cs="Times New Roman"/>
          <w:bCs/>
          <w:spacing w:val="0"/>
          <w:sz w:val="32"/>
          <w:szCs w:val="32"/>
        </w:rPr>
        <w:t>的下属代码）</w:t>
      </w:r>
    </w:p>
    <w:p w14:paraId="265643D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bCs/>
          <w:spacing w:val="0"/>
          <w:sz w:val="32"/>
          <w:szCs w:val="32"/>
        </w:rPr>
        <w:t>针对呼吸系统疾病的免疫调控失衡与预后不良等临床难题，采用临床队列与基础研究相结合的策略，探索急慢性呼吸系统疾病发生发展的影响因素，解析免疫细胞功能障碍在呼吸系统疾病中的作用机制；研发临床可用辅助诊断技术，构建预后模型与可视化工具。</w:t>
      </w:r>
    </w:p>
    <w:p w14:paraId="3E0ED65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绘制免疫细胞关键修饰谱动态图谱1套；构建疾病预测或风险评估模型1套；开发具有临床转化潜力的辅助诊断技术1</w:t>
      </w:r>
      <w:r>
        <w:rPr>
          <w:rFonts w:hint="eastAsia" w:ascii="Times New Roman" w:hAnsi="Times New Roman" w:eastAsia="仿宋_GB2312" w:cs="Times New Roman"/>
          <w:spacing w:val="0"/>
          <w:sz w:val="32"/>
          <w:szCs w:val="32"/>
          <w:lang w:val="en-US" w:eastAsia="zh-CN"/>
        </w:rPr>
        <w:t>—</w:t>
      </w:r>
      <w:r>
        <w:rPr>
          <w:rFonts w:hint="eastAsia" w:ascii="Times New Roman" w:hAnsi="Times New Roman" w:eastAsia="仿宋_GB2312" w:cs="Times New Roman"/>
          <w:spacing w:val="0"/>
          <w:sz w:val="32"/>
          <w:szCs w:val="32"/>
        </w:rPr>
        <w:t>2项。</w:t>
      </w:r>
    </w:p>
    <w:p w14:paraId="2502F46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color w:val="EE0000"/>
          <w:spacing w:val="0"/>
          <w:sz w:val="32"/>
          <w:szCs w:val="32"/>
        </w:rPr>
      </w:pPr>
      <w:r>
        <w:rPr>
          <w:rFonts w:hint="eastAsia" w:ascii="Times New Roman" w:hAnsi="Times New Roman" w:eastAsia="仿宋_GB2312" w:cs="Times New Roman"/>
          <w:b/>
          <w:bCs/>
          <w:spacing w:val="0"/>
          <w:sz w:val="32"/>
          <w:szCs w:val="32"/>
        </w:rPr>
        <w:t>4</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血管功能障碍的调控机制及新型治疗策略</w:t>
      </w:r>
      <w:r>
        <w:rPr>
          <w:rFonts w:ascii="Times New Roman" w:hAnsi="Times New Roman" w:eastAsia="仿宋_GB2312" w:cs="Times New Roman"/>
          <w:spacing w:val="0"/>
          <w:sz w:val="32"/>
          <w:szCs w:val="32"/>
        </w:rPr>
        <w:t>（申报学科代码1选择H0</w:t>
      </w:r>
      <w:r>
        <w:rPr>
          <w:rFonts w:hint="eastAsia" w:ascii="Times New Roman" w:hAnsi="Times New Roman" w:eastAsia="仿宋_GB2312" w:cs="Times New Roman"/>
          <w:spacing w:val="0"/>
          <w:sz w:val="32"/>
          <w:szCs w:val="32"/>
        </w:rPr>
        <w:t>2</w:t>
      </w:r>
      <w:r>
        <w:rPr>
          <w:rFonts w:ascii="Times New Roman" w:hAnsi="Times New Roman" w:eastAsia="仿宋_GB2312" w:cs="Times New Roman"/>
          <w:spacing w:val="0"/>
          <w:sz w:val="32"/>
          <w:szCs w:val="32"/>
        </w:rPr>
        <w:t>的下属代码）</w:t>
      </w:r>
    </w:p>
    <w:p w14:paraId="5BA28FC8">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感染性疾病合并血管功能障碍目前仍无有效治疗方法的临床难点，采用临床与基础研究相结合的策略，建立一种整合交感神经活性监测和血管功能评估的临床前研究体系，评价血压稳态、血管功能及治疗效果；建立患者来源类器官，解析神经调控的精准靶点和发病机制；探讨肠道菌群代谢、脂肪酸代谢、表观遗传等调控血管重构的病理过程，寻找血管功能障碍等临床疾病发生发展的生物标志，构建靶向纳米药物并推动向临床转化。</w:t>
      </w:r>
    </w:p>
    <w:p w14:paraId="4D225338">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绘制感染性疾病合并血管功能障碍的动物模型神经元激活荧光图谱1套；发现潜在治疗新靶标1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2个；开发具有临床转化潜力的疾病诊疗技术1种。</w:t>
      </w:r>
    </w:p>
    <w:p w14:paraId="07D733B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5.新型血糖调控策略在泛血管疾病心肌保护的作用及生物标志物研究</w:t>
      </w:r>
      <w:r>
        <w:rPr>
          <w:rFonts w:hint="eastAsia" w:ascii="Times New Roman" w:hAnsi="Times New Roman" w:eastAsia="仿宋_GB2312" w:cs="Times New Roman"/>
          <w:spacing w:val="0"/>
          <w:sz w:val="32"/>
          <w:szCs w:val="32"/>
        </w:rPr>
        <w:t>（申报学科代码1选择H02、H07下属代码）</w:t>
      </w:r>
    </w:p>
    <w:p w14:paraId="3D95D63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阐释以GLP-1受体激动剂等为代表的新型血糖调控策略，在泛血管疾病背景下发挥心肌保护的作用，寻找相关的生物标志物；建立接受特定血糖调控治疗的泛血管疾病患者前瞻性队列，运用多组学技术对比不同疗效或预后亚组间差异，发现心肌保护效应的潜在生物标志物群及关键分子；构建以核心差异分子为中心的“代谢</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蛋白</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 xml:space="preserve">基因”交互网络，结合体内外模型，探究心肌保护机制；采用组织芯片模型，验证候选靶点的转化价值，并探索和优化基于该靶点的联合治疗策略。   </w:t>
      </w:r>
    </w:p>
    <w:p w14:paraId="6DAF50C5">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仿宋" w:cs="Times New Roman"/>
          <w:spacing w:val="-6"/>
          <w:kern w:val="0"/>
          <w:sz w:val="30"/>
          <w:szCs w:val="30"/>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基于临床队列发现并初步筛选能预测心肌保护的</w:t>
      </w:r>
      <w:r>
        <w:rPr>
          <w:rFonts w:hint="eastAsia" w:ascii="Times New Roman" w:hAnsi="Times New Roman" w:eastAsia="仿宋_GB2312" w:cs="Times New Roman"/>
          <w:spacing w:val="-6"/>
          <w:sz w:val="32"/>
          <w:szCs w:val="32"/>
        </w:rPr>
        <w:t>循环生物标志物1</w:t>
      </w:r>
      <w:r>
        <w:rPr>
          <w:rFonts w:hint="eastAsia" w:ascii="Times New Roman" w:hAnsi="Times New Roman" w:eastAsia="仿宋_GB2312" w:cs="Times New Roman"/>
          <w:spacing w:val="-6"/>
          <w:sz w:val="32"/>
          <w:szCs w:val="32"/>
          <w:lang w:eastAsia="zh-CN"/>
        </w:rPr>
        <w:t>—</w:t>
      </w:r>
      <w:r>
        <w:rPr>
          <w:rFonts w:hint="eastAsia" w:ascii="Times New Roman" w:hAnsi="Times New Roman" w:eastAsia="仿宋_GB2312" w:cs="Times New Roman"/>
          <w:spacing w:val="-6"/>
          <w:sz w:val="32"/>
          <w:szCs w:val="32"/>
        </w:rPr>
        <w:t>2个；发现具有临床转化潜能的新靶标1</w:t>
      </w:r>
      <w:r>
        <w:rPr>
          <w:rFonts w:hint="eastAsia" w:ascii="Times New Roman" w:hAnsi="Times New Roman" w:eastAsia="仿宋_GB2312" w:cs="Times New Roman"/>
          <w:spacing w:val="-6"/>
          <w:sz w:val="32"/>
          <w:szCs w:val="32"/>
          <w:lang w:eastAsia="zh-CN"/>
        </w:rPr>
        <w:t>—</w:t>
      </w:r>
      <w:r>
        <w:rPr>
          <w:rFonts w:hint="eastAsia" w:ascii="Times New Roman" w:hAnsi="Times New Roman" w:eastAsia="仿宋_GB2312" w:cs="Times New Roman"/>
          <w:spacing w:val="-6"/>
          <w:sz w:val="32"/>
          <w:szCs w:val="32"/>
        </w:rPr>
        <w:t>2个。</w:t>
      </w:r>
    </w:p>
    <w:p w14:paraId="0034CFB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color w:val="000000"/>
          <w:spacing w:val="0"/>
          <w:sz w:val="32"/>
          <w:szCs w:val="32"/>
        </w:rPr>
        <w:t>6</w:t>
      </w:r>
      <w:r>
        <w:rPr>
          <w:rFonts w:ascii="Times New Roman" w:hAnsi="Times New Roman" w:eastAsia="仿宋_GB2312" w:cs="Times New Roman"/>
          <w:b/>
          <w:bCs/>
          <w:color w:val="000000"/>
          <w:spacing w:val="0"/>
          <w:sz w:val="32"/>
          <w:szCs w:val="32"/>
        </w:rPr>
        <w:t>.</w:t>
      </w:r>
      <w:r>
        <w:rPr>
          <w:rFonts w:hint="eastAsia" w:ascii="Times New Roman" w:hAnsi="Times New Roman" w:eastAsia="仿宋_GB2312" w:cs="Times New Roman"/>
          <w:b/>
          <w:bCs/>
          <w:color w:val="000000"/>
          <w:spacing w:val="0"/>
          <w:sz w:val="32"/>
          <w:szCs w:val="32"/>
        </w:rPr>
        <w:t>代谢性相关疾病的精准诊治新技术</w:t>
      </w:r>
      <w:r>
        <w:rPr>
          <w:rFonts w:ascii="Times New Roman" w:hAnsi="Times New Roman" w:eastAsia="仿宋_GB2312" w:cs="Times New Roman"/>
          <w:bCs/>
          <w:color w:val="000000"/>
          <w:spacing w:val="0"/>
          <w:sz w:val="32"/>
          <w:szCs w:val="32"/>
        </w:rPr>
        <w:t>（</w:t>
      </w:r>
      <w:r>
        <w:rPr>
          <w:rFonts w:ascii="Times New Roman" w:hAnsi="Times New Roman" w:eastAsia="仿宋_GB2312" w:cs="Times New Roman"/>
          <w:bCs/>
          <w:spacing w:val="0"/>
          <w:sz w:val="32"/>
          <w:szCs w:val="32"/>
        </w:rPr>
        <w:t>申报学科代码1选择</w:t>
      </w:r>
      <w:r>
        <w:rPr>
          <w:rFonts w:ascii="Times New Roman" w:hAnsi="Times New Roman" w:eastAsia="仿宋_GB2312" w:cs="Times New Roman"/>
          <w:spacing w:val="0"/>
          <w:sz w:val="32"/>
          <w:szCs w:val="32"/>
        </w:rPr>
        <w:t>H</w:t>
      </w:r>
      <w:r>
        <w:rPr>
          <w:rFonts w:hint="eastAsia" w:ascii="Times New Roman" w:hAnsi="Times New Roman" w:eastAsia="仿宋_GB2312" w:cs="Times New Roman"/>
          <w:spacing w:val="0"/>
          <w:sz w:val="32"/>
          <w:szCs w:val="32"/>
        </w:rPr>
        <w:t>02、H03、H07、H23、H26</w:t>
      </w:r>
      <w:r>
        <w:rPr>
          <w:rFonts w:ascii="Times New Roman" w:hAnsi="Times New Roman" w:eastAsia="仿宋_GB2312" w:cs="Times New Roman"/>
          <w:bCs/>
          <w:spacing w:val="0"/>
          <w:sz w:val="32"/>
          <w:szCs w:val="32"/>
        </w:rPr>
        <w:t>的下属代码）</w:t>
      </w:r>
    </w:p>
    <w:p w14:paraId="62F5FD4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针对代谢相关疾病及其并发症精准诊治的临床困境，</w:t>
      </w:r>
      <w:r>
        <w:rPr>
          <w:rFonts w:ascii="Times New Roman" w:hAnsi="Times New Roman" w:eastAsia="仿宋_GB2312" w:cs="Times New Roman"/>
          <w:spacing w:val="0"/>
          <w:sz w:val="32"/>
          <w:szCs w:val="32"/>
        </w:rPr>
        <w:t>运用多组学技术</w:t>
      </w:r>
      <w:r>
        <w:rPr>
          <w:rFonts w:hint="eastAsia" w:ascii="Times New Roman" w:hAnsi="Times New Roman" w:eastAsia="仿宋_GB2312" w:cs="Times New Roman"/>
          <w:spacing w:val="0"/>
          <w:sz w:val="32"/>
          <w:szCs w:val="32"/>
        </w:rPr>
        <w:t>及亚细胞异常特征分析，探寻具有诊断价值的关键因子和生物标志物，阐明慢性代谢性疾病发生的机制和影响因素；基于“代谢</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免疫</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神经”的交互调控网络，揭示急性间歇性卟啉病相关抑郁发病机制；解析激素调控、代谢状态、皮肤微生态、炎症反应、皮脂代谢及毛囊微环境影响疾病发生发展作用机制，发现相应分子诊断靶标；构建药代动力学与肝毒性高通量评价平台，为疾病精准诊治提供新技术。</w:t>
      </w:r>
    </w:p>
    <w:p w14:paraId="55CD51F8">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筛选疾病发生发展的生物标志物1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2个；构建风险预警模型1个；研发具备良好成药性的先导化合物1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2个；制定联合用药治疗新方案1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w:t>
      </w:r>
      <w:r>
        <w:rPr>
          <w:rFonts w:hint="eastAsia" w:ascii="Times New Roman" w:hAnsi="Times New Roman" w:eastAsia="仿宋_GB2312" w:cs="Times New Roman"/>
          <w:spacing w:val="0"/>
          <w:sz w:val="32"/>
          <w:szCs w:val="32"/>
          <w:lang w:val="en-US" w:eastAsia="zh-CN"/>
        </w:rPr>
        <w:t>；</w:t>
      </w:r>
      <w:r>
        <w:rPr>
          <w:rFonts w:hint="eastAsia" w:ascii="Times New Roman" w:hAnsi="Times New Roman" w:eastAsia="仿宋_GB2312" w:cs="Times New Roman"/>
          <w:spacing w:val="0"/>
          <w:sz w:val="32"/>
          <w:szCs w:val="32"/>
        </w:rPr>
        <w:t>获得具有治疗作用的天然产物和化学抑制剂2个；建立脱发表型精准鉴识模型1个；提出基于皮肤微生态调控的脱发防治策略1套；建立基于特定基因背景的药物安全性评价新方法1种</w:t>
      </w:r>
      <w:r>
        <w:rPr>
          <w:rFonts w:ascii="Times New Roman" w:hAnsi="Times New Roman" w:eastAsia="仿宋_GB2312" w:cs="Times New Roman"/>
          <w:spacing w:val="0"/>
          <w:sz w:val="32"/>
          <w:szCs w:val="32"/>
        </w:rPr>
        <w:t>。</w:t>
      </w:r>
    </w:p>
    <w:p w14:paraId="416D7869">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spacing w:val="0"/>
          <w:sz w:val="32"/>
          <w:szCs w:val="32"/>
        </w:rPr>
        <w:t>7</w:t>
      </w:r>
      <w:r>
        <w:rPr>
          <w:rFonts w:ascii="Times New Roman" w:hAnsi="Times New Roman" w:eastAsia="仿宋_GB2312" w:cs="Times New Roman"/>
          <w:b/>
          <w:spacing w:val="0"/>
          <w:sz w:val="32"/>
          <w:szCs w:val="32"/>
        </w:rPr>
        <w:t>.</w:t>
      </w:r>
      <w:r>
        <w:rPr>
          <w:rFonts w:hint="eastAsia" w:ascii="Times New Roman" w:hAnsi="Times New Roman" w:eastAsia="仿宋_GB2312" w:cs="Times New Roman"/>
          <w:b/>
          <w:spacing w:val="0"/>
          <w:sz w:val="32"/>
          <w:szCs w:val="32"/>
        </w:rPr>
        <w:t>危重症急救智能监测诊断新技术与装备研发</w:t>
      </w:r>
      <w:r>
        <w:rPr>
          <w:rFonts w:ascii="Times New Roman" w:hAnsi="Times New Roman" w:eastAsia="仿宋_GB2312" w:cs="Times New Roman"/>
          <w:spacing w:val="0"/>
          <w:sz w:val="32"/>
          <w:szCs w:val="32"/>
        </w:rPr>
        <w:t>（申报学科代码1选择H02</w:t>
      </w:r>
      <w:r>
        <w:rPr>
          <w:rFonts w:hint="eastAsia" w:ascii="Times New Roman" w:hAnsi="Times New Roman" w:eastAsia="仿宋_GB2312" w:cs="Times New Roman"/>
          <w:spacing w:val="0"/>
          <w:sz w:val="32"/>
          <w:szCs w:val="32"/>
        </w:rPr>
        <w:t>、H</w:t>
      </w:r>
      <w:r>
        <w:rPr>
          <w:rFonts w:ascii="Times New Roman" w:hAnsi="Times New Roman" w:eastAsia="仿宋_GB2312" w:cs="Times New Roman"/>
          <w:spacing w:val="0"/>
          <w:sz w:val="32"/>
          <w:szCs w:val="32"/>
        </w:rPr>
        <w:t xml:space="preserve">20的下属代码） </w:t>
      </w:r>
    </w:p>
    <w:p w14:paraId="131CDC3D">
      <w:pPr>
        <w:keepNext w:val="0"/>
        <w:keepLines w:val="0"/>
        <w:pageBreakBefore w:val="0"/>
        <w:widowControl w:val="0"/>
        <w:kinsoku/>
        <w:wordWrap/>
        <w:overflowPunct/>
        <w:topLinePunct w:val="0"/>
        <w:bidi w:val="0"/>
        <w:snapToGrid/>
        <w:spacing w:before="0" w:line="600" w:lineRule="exact"/>
        <w:ind w:left="0" w:leftChars="0" w:firstLine="643" w:firstLineChars="200"/>
        <w:textAlignment w:val="baseline"/>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spacing w:val="0"/>
          <w:sz w:val="32"/>
          <w:szCs w:val="32"/>
        </w:rPr>
        <w:t>针对危重症患者病情变化快、进展迅速且监护要求高的临床特点，研发面向危重症急救</w:t>
      </w:r>
      <w:r>
        <w:rPr>
          <w:rFonts w:hint="eastAsia" w:ascii="Times New Roman" w:hAnsi="Times New Roman" w:eastAsia="仿宋_GB2312" w:cs="Times New Roman"/>
          <w:spacing w:val="0"/>
          <w:sz w:val="32"/>
          <w:szCs w:val="32"/>
        </w:rPr>
        <w:t>患者</w:t>
      </w:r>
      <w:r>
        <w:rPr>
          <w:rFonts w:ascii="Times New Roman" w:hAnsi="Times New Roman" w:eastAsia="仿宋_GB2312" w:cs="Times New Roman"/>
          <w:spacing w:val="0"/>
          <w:sz w:val="32"/>
          <w:szCs w:val="32"/>
        </w:rPr>
        <w:t>的智能监测与快速诊断新技术及装备</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开发柔性可穿戴多参数生命体征监测系统，集成心电、血氧、体温、呼吸、无创连续血压等信号采集模块，突破运动伪影抑制与血管顺应性补偿等关键技术</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基于多模态数据构建AI诊断与评估算法，实现对心血管及神经功能状态的实时智能识别</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构建基于噬菌体纳米探针与免疫磁珠的高灵敏、高特异性病原体捕获与信号放大检测体系，研制集成磁分离与高灵敏信号读取功能的床旁快速生物标志分子检测方法，为感染性疾病的快速诊断提供系统性解决方案</w:t>
      </w:r>
      <w:r>
        <w:rPr>
          <w:rFonts w:hint="eastAsia" w:ascii="Times New Roman" w:hAnsi="Times New Roman" w:eastAsia="仿宋_GB2312" w:cs="Times New Roman"/>
          <w:spacing w:val="0"/>
          <w:sz w:val="32"/>
          <w:szCs w:val="32"/>
        </w:rPr>
        <w:t>。</w:t>
      </w:r>
    </w:p>
    <w:p w14:paraId="2C38BAE1">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研制具有自主知识产权的柔性可穿戴多参数监测与AI诊断系统1套，完成系统及核心部件的可靠性设计文件、第三方检测报告及使用寿命评估；构建高性能噬菌体纳米探针检测体系1套；研制具有自主知识产权的集成化快速精准检测原型系统1套。</w:t>
      </w:r>
    </w:p>
    <w:p w14:paraId="3F2A822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8</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心脑血管及神经肌肉疾病的机制与干预策略</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申报学科代码1选择H02</w:t>
      </w:r>
      <w:r>
        <w:rPr>
          <w:rFonts w:hint="eastAsia" w:ascii="Times New Roman" w:hAnsi="Times New Roman" w:eastAsia="仿宋_GB2312" w:cs="Times New Roman"/>
          <w:spacing w:val="0"/>
          <w:sz w:val="32"/>
          <w:szCs w:val="32"/>
        </w:rPr>
        <w:t>、H09</w:t>
      </w:r>
      <w:r>
        <w:rPr>
          <w:rFonts w:ascii="Times New Roman" w:hAnsi="Times New Roman" w:eastAsia="仿宋_GB2312" w:cs="Times New Roman"/>
          <w:spacing w:val="0"/>
          <w:sz w:val="32"/>
          <w:szCs w:val="32"/>
        </w:rPr>
        <w:t>的下属代码）</w:t>
      </w:r>
    </w:p>
    <w:p w14:paraId="35090CA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针对动脉粥样硬化、高血压、杜氏肌营养不良等疾病临床精准治疗技术匮乏和效果不佳的现状，通过建立临床队列，融合大数据整合分析、多组学以及体内外模型，从代谢、免疫与神经等多角度系统探究颅内外疾病的发展过程，解析疾病微环境特征变化；从脂代谢、天然免疫与神经多系统交互调节等多途径探讨疾病的分子机制；基于多模态成像技术，建立精准评估体系，构建靶向递送系统，筛选潜在临床转化的治疗靶点和新型纳米诊疗制剂，探索精准治疗方案。</w:t>
      </w:r>
    </w:p>
    <w:p w14:paraId="4FFE52A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筛选疾病发生发展的关键生物标志1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参与制定相关临床诊疗指南或相关行业标准1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2项</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建立基于纳米技术的相关疾病精准诊疗标准1套</w:t>
      </w:r>
      <w:r>
        <w:rPr>
          <w:rFonts w:ascii="Times New Roman" w:hAnsi="Times New Roman" w:eastAsia="仿宋_GB2312" w:cs="Times New Roman"/>
          <w:spacing w:val="0"/>
          <w:sz w:val="32"/>
          <w:szCs w:val="32"/>
        </w:rPr>
        <w:t>。</w:t>
      </w:r>
    </w:p>
    <w:p w14:paraId="73FE5CC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9</w:t>
      </w:r>
      <w:r>
        <w:rPr>
          <w:rFonts w:ascii="Times New Roman" w:hAnsi="Times New Roman" w:eastAsia="仿宋_GB2312" w:cs="Times New Roman"/>
          <w:b/>
          <w:bCs/>
          <w:spacing w:val="0"/>
          <w:sz w:val="32"/>
          <w:szCs w:val="32"/>
        </w:rPr>
        <w:t>.</w:t>
      </w:r>
      <w:bookmarkStart w:id="1" w:name="OLE_LINK5"/>
      <w:bookmarkStart w:id="2" w:name="OLE_LINK7"/>
      <w:r>
        <w:rPr>
          <w:rFonts w:ascii="Times New Roman" w:hAnsi="Times New Roman" w:eastAsia="仿宋_GB2312" w:cs="Times New Roman"/>
          <w:b/>
          <w:bCs/>
          <w:spacing w:val="0"/>
          <w:sz w:val="32"/>
          <w:szCs w:val="32"/>
        </w:rPr>
        <w:t>基于</w:t>
      </w:r>
      <w:r>
        <w:rPr>
          <w:rFonts w:hint="eastAsia" w:ascii="Times New Roman" w:hAnsi="Times New Roman" w:eastAsia="仿宋_GB2312" w:cs="Times New Roman"/>
          <w:b/>
          <w:bCs/>
          <w:spacing w:val="0"/>
          <w:sz w:val="32"/>
          <w:szCs w:val="32"/>
        </w:rPr>
        <w:t>人工智能</w:t>
      </w:r>
      <w:r>
        <w:rPr>
          <w:rFonts w:ascii="Times New Roman" w:hAnsi="Times New Roman" w:eastAsia="仿宋_GB2312" w:cs="Times New Roman"/>
          <w:b/>
          <w:bCs/>
          <w:spacing w:val="0"/>
          <w:sz w:val="32"/>
          <w:szCs w:val="32"/>
        </w:rPr>
        <w:t>与</w:t>
      </w:r>
      <w:r>
        <w:rPr>
          <w:rFonts w:hint="eastAsia" w:ascii="Times New Roman" w:hAnsi="Times New Roman" w:eastAsia="仿宋_GB2312" w:cs="Times New Roman"/>
          <w:b/>
          <w:bCs/>
          <w:spacing w:val="0"/>
          <w:sz w:val="32"/>
          <w:szCs w:val="32"/>
        </w:rPr>
        <w:t>类器官</w:t>
      </w:r>
      <w:r>
        <w:rPr>
          <w:rFonts w:ascii="Times New Roman" w:hAnsi="Times New Roman" w:eastAsia="仿宋_GB2312" w:cs="Times New Roman"/>
          <w:b/>
          <w:bCs/>
          <w:spacing w:val="0"/>
          <w:sz w:val="32"/>
          <w:szCs w:val="32"/>
        </w:rPr>
        <w:t>的诊疗新技术研发及应用</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H02</w:t>
      </w:r>
      <w:r>
        <w:rPr>
          <w:rFonts w:hint="eastAsia" w:ascii="Times New Roman" w:hAnsi="Times New Roman" w:eastAsia="仿宋_GB2312" w:cs="Times New Roman"/>
          <w:bCs/>
          <w:spacing w:val="0"/>
          <w:sz w:val="32"/>
          <w:szCs w:val="32"/>
        </w:rPr>
        <w:t>、H</w:t>
      </w:r>
      <w:r>
        <w:rPr>
          <w:rFonts w:ascii="Times New Roman" w:hAnsi="Times New Roman" w:eastAsia="仿宋_GB2312" w:cs="Times New Roman"/>
          <w:bCs/>
          <w:spacing w:val="0"/>
          <w:sz w:val="32"/>
          <w:szCs w:val="32"/>
        </w:rPr>
        <w:t>04、H18</w:t>
      </w:r>
      <w:r>
        <w:rPr>
          <w:rFonts w:ascii="Times New Roman" w:hAnsi="Times New Roman" w:eastAsia="仿宋_GB2312" w:cs="Times New Roman"/>
          <w:spacing w:val="0"/>
          <w:sz w:val="32"/>
          <w:szCs w:val="32"/>
        </w:rPr>
        <w:t>的下属代码）</w:t>
      </w:r>
    </w:p>
    <w:p w14:paraId="6768ADC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bCs/>
          <w:spacing w:val="0"/>
          <w:sz w:val="32"/>
          <w:szCs w:val="32"/>
        </w:rPr>
        <w:t>基于</w:t>
      </w:r>
      <w:r>
        <w:rPr>
          <w:rFonts w:ascii="Times New Roman" w:hAnsi="Times New Roman" w:eastAsia="仿宋_GB2312" w:cs="Times New Roman"/>
          <w:bCs/>
          <w:spacing w:val="0"/>
          <w:sz w:val="32"/>
          <w:szCs w:val="32"/>
        </w:rPr>
        <w:t>人工智能、纳米机器人、类器官及生物医学影像工程等前沿技术，揭示疾病发生机制</w:t>
      </w:r>
      <w:r>
        <w:rPr>
          <w:rFonts w:hint="eastAsia" w:ascii="Times New Roman" w:hAnsi="Times New Roman" w:eastAsia="仿宋_GB2312" w:cs="Times New Roman"/>
          <w:bCs/>
          <w:spacing w:val="0"/>
          <w:sz w:val="32"/>
          <w:szCs w:val="32"/>
        </w:rPr>
        <w:t>，开发</w:t>
      </w:r>
      <w:r>
        <w:rPr>
          <w:rFonts w:ascii="Times New Roman" w:hAnsi="Times New Roman" w:eastAsia="仿宋_GB2312" w:cs="Times New Roman"/>
          <w:bCs/>
          <w:spacing w:val="0"/>
          <w:sz w:val="32"/>
          <w:szCs w:val="32"/>
        </w:rPr>
        <w:t>新型生物制剂与诊疗</w:t>
      </w:r>
      <w:r>
        <w:rPr>
          <w:rFonts w:hint="eastAsia" w:ascii="Times New Roman" w:hAnsi="Times New Roman" w:eastAsia="仿宋_GB2312" w:cs="Times New Roman"/>
          <w:bCs/>
          <w:spacing w:val="0"/>
          <w:sz w:val="32"/>
          <w:szCs w:val="32"/>
        </w:rPr>
        <w:t>技术，</w:t>
      </w:r>
      <w:r>
        <w:rPr>
          <w:rFonts w:ascii="Times New Roman" w:hAnsi="Times New Roman" w:eastAsia="仿宋_GB2312" w:cs="Times New Roman"/>
          <w:bCs/>
          <w:spacing w:val="0"/>
          <w:sz w:val="32"/>
          <w:szCs w:val="32"/>
        </w:rPr>
        <w:t>重点评价其在缺血性心脏病、女性生殖系统疾病（包括卵巢肿瘤）及组织损伤修复中的诊断与治疗作用</w:t>
      </w:r>
      <w:r>
        <w:rPr>
          <w:rFonts w:hint="eastAsia" w:ascii="Times New Roman" w:hAnsi="Times New Roman" w:eastAsia="仿宋_GB2312" w:cs="Times New Roman"/>
          <w:bCs/>
          <w:spacing w:val="0"/>
          <w:sz w:val="32"/>
          <w:szCs w:val="32"/>
        </w:rPr>
        <w:t>；</w:t>
      </w:r>
      <w:r>
        <w:rPr>
          <w:rFonts w:ascii="Times New Roman" w:hAnsi="Times New Roman" w:eastAsia="仿宋_GB2312" w:cs="Times New Roman"/>
          <w:bCs/>
          <w:spacing w:val="0"/>
          <w:sz w:val="32"/>
          <w:szCs w:val="32"/>
        </w:rPr>
        <w:t>基于</w:t>
      </w:r>
      <w:r>
        <w:rPr>
          <w:rFonts w:hint="eastAsia" w:ascii="Times New Roman" w:hAnsi="Times New Roman" w:eastAsia="仿宋_GB2312" w:cs="Times New Roman"/>
          <w:bCs/>
          <w:spacing w:val="0"/>
          <w:sz w:val="32"/>
          <w:szCs w:val="32"/>
        </w:rPr>
        <w:t>人工智能</w:t>
      </w:r>
      <w:r>
        <w:rPr>
          <w:rFonts w:ascii="Times New Roman" w:hAnsi="Times New Roman" w:eastAsia="仿宋_GB2312" w:cs="Times New Roman"/>
          <w:bCs/>
          <w:spacing w:val="0"/>
          <w:sz w:val="32"/>
          <w:szCs w:val="32"/>
        </w:rPr>
        <w:t>与</w:t>
      </w:r>
      <w:r>
        <w:rPr>
          <w:rFonts w:hint="eastAsia" w:ascii="Times New Roman" w:hAnsi="Times New Roman" w:eastAsia="仿宋_GB2312" w:cs="Times New Roman"/>
          <w:bCs/>
          <w:spacing w:val="0"/>
          <w:sz w:val="32"/>
          <w:szCs w:val="32"/>
        </w:rPr>
        <w:t>类器官开展药敏预测、临床疗效一致性评价，</w:t>
      </w:r>
      <w:r>
        <w:rPr>
          <w:rFonts w:ascii="Times New Roman" w:hAnsi="Times New Roman" w:eastAsia="仿宋_GB2312" w:cs="Times New Roman"/>
          <w:bCs/>
          <w:spacing w:val="0"/>
          <w:sz w:val="32"/>
          <w:szCs w:val="32"/>
        </w:rPr>
        <w:t>为临床疾病的治疗提供</w:t>
      </w:r>
      <w:r>
        <w:rPr>
          <w:rFonts w:ascii="Times New Roman" w:hAnsi="Times New Roman" w:eastAsia="仿宋_GB2312" w:cs="Times New Roman"/>
          <w:spacing w:val="0"/>
          <w:sz w:val="32"/>
          <w:szCs w:val="32"/>
        </w:rPr>
        <w:t>新技术和新策略。</w:t>
      </w:r>
    </w:p>
    <w:p w14:paraId="22D42E66">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ascii="Times New Roman" w:hAnsi="Times New Roman" w:eastAsia="仿宋_GB2312" w:cs="Times New Roman"/>
          <w:spacing w:val="0"/>
          <w:sz w:val="32"/>
          <w:szCs w:val="32"/>
        </w:rPr>
        <w:t>研发</w:t>
      </w:r>
      <w:r>
        <w:rPr>
          <w:rFonts w:hint="eastAsia" w:ascii="Times New Roman" w:hAnsi="Times New Roman" w:eastAsia="仿宋_GB2312" w:cs="Times New Roman"/>
          <w:spacing w:val="0"/>
          <w:sz w:val="32"/>
          <w:szCs w:val="32"/>
        </w:rPr>
        <w:t>诊疗</w:t>
      </w:r>
      <w:r>
        <w:rPr>
          <w:rFonts w:ascii="Times New Roman" w:hAnsi="Times New Roman" w:eastAsia="仿宋_GB2312" w:cs="Times New Roman"/>
          <w:spacing w:val="0"/>
          <w:sz w:val="32"/>
          <w:szCs w:val="32"/>
        </w:rPr>
        <w:t>新技术1</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2项；</w:t>
      </w:r>
      <w:r>
        <w:rPr>
          <w:rFonts w:hint="eastAsia" w:ascii="Times New Roman" w:hAnsi="Times New Roman" w:eastAsia="仿宋_GB2312" w:cs="Times New Roman"/>
          <w:spacing w:val="0"/>
          <w:sz w:val="32"/>
          <w:szCs w:val="32"/>
        </w:rPr>
        <w:t>研制1种纳米机器人体系；建成≥200例河北省类器官活库；建立胎盘发育异常早期风险评估模型1个。</w:t>
      </w:r>
      <w:bookmarkEnd w:id="1"/>
      <w:bookmarkEnd w:id="2"/>
    </w:p>
    <w:p w14:paraId="2F26787B">
      <w:pPr>
        <w:keepNext w:val="0"/>
        <w:keepLines w:val="0"/>
        <w:pageBreakBefore w:val="0"/>
        <w:widowControl w:val="0"/>
        <w:kinsoku/>
        <w:wordWrap/>
        <w:overflowPunct/>
        <w:topLinePunct w:val="0"/>
        <w:bidi w:val="0"/>
        <w:snapToGrid/>
        <w:spacing w:line="600" w:lineRule="exact"/>
        <w:ind w:firstLine="627" w:firstLineChars="200"/>
        <w:jc w:val="both"/>
        <w:rPr>
          <w:rFonts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b/>
          <w:bCs/>
          <w:kern w:val="2"/>
          <w:sz w:val="32"/>
          <w:szCs w:val="32"/>
          <w:lang w:val="en-US" w:eastAsia="zh-CN" w:bidi="ar-SA"/>
        </w:rPr>
        <w:t>10</w:t>
      </w:r>
      <w:r>
        <w:rPr>
          <w:rFonts w:ascii="Times New Roman" w:hAnsi="Times New Roman" w:eastAsia="仿宋_GB2312" w:cs="Times New Roman"/>
          <w:b/>
          <w:bCs/>
          <w:kern w:val="2"/>
          <w:sz w:val="32"/>
          <w:szCs w:val="32"/>
          <w:lang w:val="en-US" w:eastAsia="zh-CN" w:bidi="ar-SA"/>
        </w:rPr>
        <w:t>.核蛋白相分离障碍致RNA代谢紊乱与泛凋亡</w:t>
      </w:r>
      <w:r>
        <w:rPr>
          <w:rFonts w:hint="eastAsia" w:ascii="Times New Roman" w:hAnsi="Times New Roman" w:eastAsia="仿宋_GB2312" w:cs="Times New Roman"/>
          <w:b/>
          <w:bCs/>
          <w:kern w:val="2"/>
          <w:sz w:val="32"/>
          <w:szCs w:val="32"/>
          <w:lang w:val="en-US" w:eastAsia="zh-CN" w:bidi="ar-SA"/>
        </w:rPr>
        <w:t>在</w:t>
      </w:r>
      <w:r>
        <w:rPr>
          <w:rFonts w:ascii="Times New Roman" w:hAnsi="Times New Roman" w:eastAsia="仿宋_GB2312" w:cs="Times New Roman"/>
          <w:b/>
          <w:bCs/>
          <w:kern w:val="2"/>
          <w:sz w:val="32"/>
          <w:szCs w:val="32"/>
          <w:lang w:val="en-US" w:eastAsia="zh-CN" w:bidi="ar-SA"/>
        </w:rPr>
        <w:t>阿霉素心脏毒性中</w:t>
      </w:r>
      <w:r>
        <w:rPr>
          <w:rFonts w:hint="eastAsia" w:ascii="Times New Roman" w:hAnsi="Times New Roman" w:eastAsia="仿宋_GB2312" w:cs="Times New Roman"/>
          <w:b/>
          <w:bCs/>
          <w:kern w:val="2"/>
          <w:sz w:val="32"/>
          <w:szCs w:val="32"/>
          <w:lang w:val="en-US" w:eastAsia="zh-CN" w:bidi="ar-SA"/>
        </w:rPr>
        <w:t>作用及</w:t>
      </w:r>
      <w:r>
        <w:rPr>
          <w:rFonts w:ascii="Times New Roman" w:hAnsi="Times New Roman" w:eastAsia="仿宋_GB2312" w:cs="Times New Roman"/>
          <w:b/>
          <w:bCs/>
          <w:kern w:val="2"/>
          <w:sz w:val="32"/>
          <w:szCs w:val="32"/>
          <w:lang w:val="en-US" w:eastAsia="zh-CN" w:bidi="ar-SA"/>
        </w:rPr>
        <w:t>干预研究</w:t>
      </w:r>
      <w:r>
        <w:rPr>
          <w:rFonts w:ascii="Times New Roman" w:hAnsi="Times New Roman" w:eastAsia="仿宋_GB2312" w:cs="Times New Roman"/>
          <w:kern w:val="2"/>
          <w:sz w:val="32"/>
          <w:szCs w:val="32"/>
          <w:lang w:val="en-US" w:eastAsia="zh-CN" w:bidi="ar-SA"/>
        </w:rPr>
        <w:t>（申报学科代码1选择H0</w:t>
      </w:r>
      <w:r>
        <w:rPr>
          <w:rFonts w:hint="eastAsia" w:ascii="Times New Roman" w:hAnsi="Times New Roman" w:eastAsia="仿宋_GB2312" w:cs="Times New Roman"/>
          <w:kern w:val="2"/>
          <w:sz w:val="32"/>
          <w:szCs w:val="32"/>
          <w:lang w:val="en-US" w:eastAsia="zh-CN" w:bidi="ar-SA"/>
        </w:rPr>
        <w:t>2</w:t>
      </w:r>
      <w:r>
        <w:rPr>
          <w:rFonts w:ascii="Times New Roman" w:hAnsi="Times New Roman" w:eastAsia="仿宋_GB2312" w:cs="Times New Roman"/>
          <w:kern w:val="2"/>
          <w:sz w:val="32"/>
          <w:szCs w:val="32"/>
          <w:lang w:val="en-US" w:eastAsia="zh-CN" w:bidi="ar-SA"/>
        </w:rPr>
        <w:t>的下属代码）</w:t>
      </w:r>
    </w:p>
    <w:p w14:paraId="5B89A1E6">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研究内容：</w:t>
      </w:r>
      <w:r>
        <w:rPr>
          <w:rFonts w:ascii="Times New Roman" w:hAnsi="Times New Roman" w:eastAsia="仿宋_GB2312" w:cs="Times New Roman"/>
          <w:spacing w:val="0"/>
          <w:sz w:val="32"/>
          <w:szCs w:val="32"/>
        </w:rPr>
        <w:t>基于阿霉素致心脏毒性的临床问题，整合临床样本资源、转基因动物模型及细胞水平的功能验证，</w:t>
      </w:r>
      <w:r>
        <w:rPr>
          <w:rFonts w:hint="eastAsia" w:ascii="Times New Roman" w:hAnsi="Times New Roman" w:eastAsia="仿宋_GB2312" w:cs="Times New Roman"/>
          <w:spacing w:val="0"/>
          <w:sz w:val="32"/>
          <w:szCs w:val="32"/>
        </w:rPr>
        <w:t>采用</w:t>
      </w:r>
      <w:r>
        <w:rPr>
          <w:rFonts w:ascii="Times New Roman" w:hAnsi="Times New Roman" w:eastAsia="仿宋_GB2312" w:cs="Times New Roman"/>
          <w:spacing w:val="0"/>
          <w:sz w:val="32"/>
          <w:szCs w:val="32"/>
        </w:rPr>
        <w:t>表观遗传学与生物信息学等多组学技术，</w:t>
      </w:r>
      <w:r>
        <w:rPr>
          <w:rFonts w:hint="eastAsia" w:ascii="Times New Roman" w:hAnsi="Times New Roman" w:eastAsia="仿宋_GB2312" w:cs="Times New Roman"/>
          <w:spacing w:val="0"/>
          <w:sz w:val="32"/>
          <w:szCs w:val="32"/>
        </w:rPr>
        <w:t>阐明阿霉素的心脏毒性</w:t>
      </w:r>
      <w:r>
        <w:rPr>
          <w:rFonts w:ascii="Times New Roman" w:hAnsi="Times New Roman" w:eastAsia="仿宋_GB2312" w:cs="Times New Roman"/>
          <w:spacing w:val="0"/>
          <w:sz w:val="32"/>
          <w:szCs w:val="32"/>
        </w:rPr>
        <w:t>机制</w:t>
      </w:r>
      <w:r>
        <w:rPr>
          <w:rFonts w:hint="eastAsia" w:ascii="Times New Roman" w:hAnsi="Times New Roman" w:eastAsia="仿宋_GB2312" w:cs="Times New Roman"/>
          <w:spacing w:val="0"/>
          <w:sz w:val="32"/>
          <w:szCs w:val="32"/>
        </w:rPr>
        <w:t>；聚焦</w:t>
      </w:r>
      <w:r>
        <w:rPr>
          <w:rFonts w:ascii="Times New Roman" w:hAnsi="Times New Roman" w:eastAsia="仿宋_GB2312" w:cs="Times New Roman"/>
          <w:spacing w:val="0"/>
          <w:sz w:val="32"/>
          <w:szCs w:val="32"/>
        </w:rPr>
        <w:t>核蛋白相分离障碍、泛凋亡等关键病理过程，利用相分离研究手段，解析核蛋白相分离凝聚物介导表观遗传调控在心肌毒性发生与发展中的</w:t>
      </w:r>
      <w:r>
        <w:rPr>
          <w:rFonts w:hint="eastAsia" w:ascii="Times New Roman" w:hAnsi="Times New Roman" w:eastAsia="仿宋_GB2312" w:cs="Times New Roman"/>
          <w:spacing w:val="0"/>
          <w:sz w:val="32"/>
          <w:szCs w:val="32"/>
        </w:rPr>
        <w:t>分子靶点</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rPr>
        <w:t>针对</w:t>
      </w:r>
      <w:r>
        <w:rPr>
          <w:rFonts w:ascii="Times New Roman" w:hAnsi="Times New Roman" w:eastAsia="仿宋_GB2312" w:cs="Times New Roman"/>
          <w:spacing w:val="0"/>
          <w:sz w:val="32"/>
          <w:szCs w:val="32"/>
        </w:rPr>
        <w:t>内源性心肌保护机制的关键生物靶点，筛选有效小分子药物，为临床精准防治提供新靶点</w:t>
      </w:r>
      <w:r>
        <w:rPr>
          <w:rFonts w:hint="eastAsia" w:ascii="Times New Roman" w:hAnsi="Times New Roman" w:eastAsia="仿宋_GB2312" w:cs="Times New Roman"/>
          <w:spacing w:val="0"/>
          <w:sz w:val="32"/>
          <w:szCs w:val="32"/>
        </w:rPr>
        <w:t>和</w:t>
      </w:r>
      <w:r>
        <w:rPr>
          <w:rFonts w:ascii="Times New Roman" w:hAnsi="Times New Roman" w:eastAsia="仿宋_GB2312" w:cs="Times New Roman"/>
          <w:spacing w:val="0"/>
          <w:sz w:val="32"/>
          <w:szCs w:val="32"/>
        </w:rPr>
        <w:t>先导化合物。</w:t>
      </w:r>
    </w:p>
    <w:p w14:paraId="22884AB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筛选阿霉素致心脏毒性的潜在治疗靶点1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rPr>
        <w:t>筛选</w:t>
      </w:r>
      <w:r>
        <w:rPr>
          <w:rFonts w:ascii="Times New Roman" w:hAnsi="Times New Roman" w:eastAsia="仿宋_GB2312" w:cs="Times New Roman"/>
          <w:spacing w:val="0"/>
          <w:sz w:val="32"/>
          <w:szCs w:val="32"/>
        </w:rPr>
        <w:t>并验证能</w:t>
      </w:r>
      <w:r>
        <w:rPr>
          <w:rFonts w:hint="eastAsia" w:ascii="Times New Roman" w:hAnsi="Times New Roman" w:eastAsia="仿宋_GB2312" w:cs="Times New Roman"/>
          <w:spacing w:val="0"/>
          <w:sz w:val="32"/>
          <w:szCs w:val="32"/>
        </w:rPr>
        <w:t>具有临床转化潜能</w:t>
      </w:r>
      <w:r>
        <w:rPr>
          <w:rFonts w:ascii="Times New Roman" w:hAnsi="Times New Roman" w:eastAsia="仿宋_GB2312" w:cs="Times New Roman"/>
          <w:spacing w:val="0"/>
          <w:sz w:val="32"/>
          <w:szCs w:val="32"/>
        </w:rPr>
        <w:t>的小分子药物1</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2个。</w:t>
      </w:r>
    </w:p>
    <w:p w14:paraId="0351C459">
      <w:pPr>
        <w:keepNext w:val="0"/>
        <w:keepLines w:val="0"/>
        <w:pageBreakBefore w:val="0"/>
        <w:widowControl w:val="0"/>
        <w:kinsoku/>
        <w:wordWrap/>
        <w:overflowPunct/>
        <w:topLinePunct w:val="0"/>
        <w:bidi w:val="0"/>
        <w:snapToGrid/>
        <w:spacing w:line="600" w:lineRule="exact"/>
        <w:ind w:firstLine="627" w:firstLineChars="200"/>
        <w:jc w:val="both"/>
        <w:rPr>
          <w:rFonts w:ascii="Times New Roman" w:hAnsi="Times New Roman" w:eastAsia="仿宋_GB2312" w:cs="Times New Roman"/>
          <w:b/>
          <w:bCs/>
          <w:kern w:val="2"/>
          <w:sz w:val="32"/>
          <w:szCs w:val="32"/>
          <w:lang w:val="en-US" w:eastAsia="zh-CN" w:bidi="ar-SA"/>
        </w:rPr>
      </w:pPr>
      <w:r>
        <w:rPr>
          <w:rFonts w:ascii="Times New Roman" w:hAnsi="Times New Roman" w:eastAsia="仿宋_GB2312" w:cs="Times New Roman"/>
          <w:b/>
          <w:bCs/>
          <w:kern w:val="2"/>
          <w:sz w:val="32"/>
          <w:szCs w:val="32"/>
          <w:lang w:val="en-US" w:eastAsia="zh-CN" w:bidi="ar-SA"/>
        </w:rPr>
        <w:t>1</w:t>
      </w:r>
      <w:r>
        <w:rPr>
          <w:rFonts w:hint="eastAsia" w:ascii="Times New Roman" w:hAnsi="Times New Roman" w:eastAsia="仿宋_GB2312" w:cs="Times New Roman"/>
          <w:b/>
          <w:bCs/>
          <w:kern w:val="2"/>
          <w:sz w:val="32"/>
          <w:szCs w:val="32"/>
          <w:lang w:val="en-US" w:eastAsia="zh-CN" w:bidi="ar-SA"/>
        </w:rPr>
        <w:t>1</w:t>
      </w:r>
      <w:r>
        <w:rPr>
          <w:rFonts w:ascii="Times New Roman" w:hAnsi="Times New Roman" w:eastAsia="仿宋_GB2312" w:cs="Times New Roman"/>
          <w:b/>
          <w:bCs/>
          <w:kern w:val="2"/>
          <w:sz w:val="32"/>
          <w:szCs w:val="32"/>
          <w:lang w:val="en-US" w:eastAsia="zh-CN" w:bidi="ar-SA"/>
        </w:rPr>
        <w:t>.慢性应激条件下肿瘤定植菌调控结直肠癌进展的精准化治疗新策略</w:t>
      </w:r>
      <w:r>
        <w:rPr>
          <w:rFonts w:ascii="Times New Roman" w:hAnsi="Times New Roman" w:eastAsia="仿宋_GB2312" w:cs="Times New Roman"/>
          <w:kern w:val="2"/>
          <w:sz w:val="32"/>
          <w:szCs w:val="32"/>
          <w:lang w:val="en-US" w:eastAsia="zh-CN" w:bidi="ar-SA"/>
        </w:rPr>
        <w:t>（申报学科代码1选择H</w:t>
      </w:r>
      <w:r>
        <w:rPr>
          <w:rFonts w:hint="eastAsia" w:ascii="Times New Roman" w:hAnsi="Times New Roman" w:eastAsia="仿宋_GB2312" w:cs="Times New Roman"/>
          <w:kern w:val="2"/>
          <w:sz w:val="32"/>
          <w:szCs w:val="32"/>
          <w:lang w:val="en-US" w:eastAsia="zh-CN" w:bidi="ar-SA"/>
        </w:rPr>
        <w:t>03</w:t>
      </w:r>
      <w:r>
        <w:rPr>
          <w:rFonts w:ascii="Times New Roman" w:hAnsi="Times New Roman" w:eastAsia="仿宋_GB2312" w:cs="Times New Roman"/>
          <w:kern w:val="2"/>
          <w:sz w:val="32"/>
          <w:szCs w:val="32"/>
          <w:lang w:val="en-US" w:eastAsia="zh-CN" w:bidi="ar-SA"/>
        </w:rPr>
        <w:t>的下属代码）</w:t>
      </w:r>
    </w:p>
    <w:p w14:paraId="6AC8EC50">
      <w:pPr>
        <w:keepNext w:val="0"/>
        <w:keepLines w:val="0"/>
        <w:pageBreakBefore w:val="0"/>
        <w:widowControl w:val="0"/>
        <w:kinsoku/>
        <w:wordWrap/>
        <w:overflowPunct/>
        <w:topLinePunct w:val="0"/>
        <w:bidi w:val="0"/>
        <w:snapToGrid/>
        <w:spacing w:line="600" w:lineRule="exact"/>
        <w:ind w:firstLine="627" w:firstLineChars="200"/>
        <w:jc w:val="both"/>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b/>
          <w:bCs/>
          <w:kern w:val="2"/>
          <w:sz w:val="32"/>
          <w:szCs w:val="32"/>
          <w:lang w:val="en-US" w:eastAsia="zh-CN" w:bidi="ar-SA"/>
        </w:rPr>
        <w:t>研究内容：</w:t>
      </w:r>
      <w:r>
        <w:rPr>
          <w:rFonts w:hint="eastAsia" w:ascii="Times New Roman" w:hAnsi="Times New Roman" w:eastAsia="仿宋_GB2312" w:cs="Times New Roman"/>
          <w:kern w:val="2"/>
          <w:sz w:val="32"/>
          <w:szCs w:val="32"/>
          <w:lang w:val="en-US" w:eastAsia="zh-CN" w:bidi="ar-SA"/>
        </w:rPr>
        <w:t>聚焦</w:t>
      </w:r>
      <w:r>
        <w:rPr>
          <w:rFonts w:ascii="Times New Roman" w:hAnsi="Times New Roman" w:eastAsia="仿宋_GB2312" w:cs="Times New Roman"/>
          <w:kern w:val="2"/>
          <w:sz w:val="32"/>
          <w:szCs w:val="32"/>
          <w:lang w:val="en-US" w:eastAsia="zh-CN" w:bidi="ar-SA"/>
        </w:rPr>
        <w:t>慢性应激条件下，肿瘤定植菌及其外囊泡调控结直肠癌进展的作用机制和精准干预</w:t>
      </w:r>
      <w:r>
        <w:rPr>
          <w:rFonts w:hint="eastAsia" w:ascii="Times New Roman" w:hAnsi="Times New Roman" w:eastAsia="仿宋_GB2312" w:cs="Times New Roman"/>
          <w:kern w:val="2"/>
          <w:sz w:val="32"/>
          <w:szCs w:val="32"/>
          <w:lang w:val="en-US" w:eastAsia="zh-CN" w:bidi="ar-SA"/>
        </w:rPr>
        <w:t>策略，</w:t>
      </w:r>
      <w:r>
        <w:rPr>
          <w:rFonts w:ascii="Times New Roman" w:hAnsi="Times New Roman" w:eastAsia="仿宋_GB2312" w:cs="Times New Roman"/>
          <w:kern w:val="2"/>
          <w:sz w:val="32"/>
          <w:szCs w:val="32"/>
          <w:lang w:val="en-US" w:eastAsia="zh-CN" w:bidi="ar-SA"/>
        </w:rPr>
        <w:t>采用大样本患者心理评估联合HPA轴激素检测、组织酶解联合5R-16S测序技术，</w:t>
      </w:r>
      <w:r>
        <w:rPr>
          <w:rFonts w:hint="eastAsia" w:ascii="Times New Roman" w:hAnsi="Times New Roman" w:eastAsia="仿宋_GB2312" w:cs="Times New Roman"/>
          <w:kern w:val="2"/>
          <w:sz w:val="32"/>
          <w:szCs w:val="32"/>
          <w:lang w:val="en-US" w:eastAsia="zh-CN" w:bidi="ar-SA"/>
        </w:rPr>
        <w:t>结合</w:t>
      </w:r>
      <w:r>
        <w:rPr>
          <w:rFonts w:ascii="Times New Roman" w:hAnsi="Times New Roman" w:eastAsia="仿宋_GB2312" w:cs="Times New Roman"/>
          <w:kern w:val="2"/>
          <w:sz w:val="32"/>
          <w:szCs w:val="32"/>
          <w:lang w:val="en-US" w:eastAsia="zh-CN" w:bidi="ar-SA"/>
        </w:rPr>
        <w:t>慢性应激</w:t>
      </w:r>
      <w:r>
        <w:rPr>
          <w:rFonts w:hint="eastAsia" w:ascii="Times New Roman" w:hAnsi="Times New Roman" w:eastAsia="仿宋_GB2312" w:cs="Times New Roman"/>
          <w:kern w:val="2"/>
          <w:sz w:val="32"/>
          <w:szCs w:val="32"/>
          <w:lang w:val="en-US" w:eastAsia="zh-CN" w:bidi="ar-SA"/>
        </w:rPr>
        <w:t>条件下</w:t>
      </w:r>
      <w:r>
        <w:rPr>
          <w:rFonts w:ascii="Times New Roman" w:hAnsi="Times New Roman" w:eastAsia="仿宋_GB2312" w:cs="Times New Roman"/>
          <w:kern w:val="2"/>
          <w:sz w:val="32"/>
          <w:szCs w:val="32"/>
          <w:lang w:val="en-US" w:eastAsia="zh-CN" w:bidi="ar-SA"/>
        </w:rPr>
        <w:t>的结直肠癌动物和细胞模型，</w:t>
      </w:r>
      <w:r>
        <w:rPr>
          <w:rFonts w:hint="eastAsia" w:ascii="Times New Roman" w:hAnsi="Times New Roman" w:eastAsia="仿宋_GB2312" w:cs="Times New Roman"/>
          <w:kern w:val="2"/>
          <w:sz w:val="32"/>
          <w:szCs w:val="32"/>
          <w:lang w:val="en-US" w:eastAsia="zh-CN" w:bidi="ar-SA"/>
        </w:rPr>
        <w:t>阐明肿瘤定植</w:t>
      </w:r>
      <w:r>
        <w:rPr>
          <w:rFonts w:ascii="Times New Roman" w:hAnsi="Times New Roman" w:eastAsia="仿宋_GB2312" w:cs="Times New Roman"/>
          <w:kern w:val="2"/>
          <w:sz w:val="32"/>
          <w:szCs w:val="32"/>
          <w:lang w:val="en-US" w:eastAsia="zh-CN" w:bidi="ar-SA"/>
        </w:rPr>
        <w:t>菌及其外囊泡的作用机制；筛选</w:t>
      </w:r>
      <w:r>
        <w:rPr>
          <w:rFonts w:hint="eastAsia" w:ascii="Times New Roman" w:hAnsi="Times New Roman" w:eastAsia="仿宋_GB2312" w:cs="Times New Roman"/>
          <w:kern w:val="2"/>
          <w:sz w:val="32"/>
          <w:szCs w:val="32"/>
          <w:lang w:val="en-US" w:eastAsia="zh-CN" w:bidi="ar-SA"/>
        </w:rPr>
        <w:t>可以</w:t>
      </w:r>
      <w:r>
        <w:rPr>
          <w:rFonts w:ascii="Times New Roman" w:hAnsi="Times New Roman" w:eastAsia="仿宋_GB2312" w:cs="Times New Roman"/>
          <w:kern w:val="2"/>
          <w:sz w:val="32"/>
          <w:szCs w:val="32"/>
          <w:lang w:val="en-US" w:eastAsia="zh-CN" w:bidi="ar-SA"/>
        </w:rPr>
        <w:t>特异性增殖</w:t>
      </w:r>
      <w:r>
        <w:rPr>
          <w:rFonts w:hint="eastAsia" w:ascii="Times New Roman" w:hAnsi="Times New Roman" w:eastAsia="仿宋_GB2312" w:cs="Times New Roman"/>
          <w:kern w:val="2"/>
          <w:sz w:val="32"/>
          <w:szCs w:val="32"/>
          <w:lang w:val="en-US" w:eastAsia="zh-CN" w:bidi="ar-SA"/>
        </w:rPr>
        <w:t>肿瘤定植</w:t>
      </w:r>
      <w:r>
        <w:rPr>
          <w:rFonts w:ascii="Times New Roman" w:hAnsi="Times New Roman" w:eastAsia="仿宋_GB2312" w:cs="Times New Roman"/>
          <w:kern w:val="2"/>
          <w:sz w:val="32"/>
          <w:szCs w:val="32"/>
          <w:lang w:val="en-US" w:eastAsia="zh-CN" w:bidi="ar-SA"/>
        </w:rPr>
        <w:t>菌的天然活性成分，阐明其“养菌抑癌”新机制；建立辅助临床诊断的多参数生物标志物模型</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为结直肠癌患者的精准干预和预后评估提供新策略。</w:t>
      </w:r>
    </w:p>
    <w:p w14:paraId="0D9A93AC">
      <w:pPr>
        <w:keepNext w:val="0"/>
        <w:keepLines w:val="0"/>
        <w:pageBreakBefore w:val="0"/>
        <w:widowControl w:val="0"/>
        <w:kinsoku/>
        <w:wordWrap/>
        <w:overflowPunct/>
        <w:topLinePunct w:val="0"/>
        <w:bidi w:val="0"/>
        <w:snapToGrid/>
        <w:spacing w:line="600" w:lineRule="exact"/>
        <w:ind w:firstLine="627" w:firstLineChars="200"/>
        <w:jc w:val="both"/>
        <w:rPr>
          <w:rFonts w:ascii="Times New Roman" w:hAnsi="Times New Roman" w:eastAsia="仿宋_GB2312" w:cs="Times New Roman"/>
          <w:b/>
          <w:bCs/>
          <w:kern w:val="2"/>
          <w:sz w:val="32"/>
          <w:szCs w:val="32"/>
          <w:lang w:val="en-US" w:eastAsia="zh-CN" w:bidi="ar-SA"/>
        </w:rPr>
      </w:pPr>
      <w:r>
        <w:rPr>
          <w:rFonts w:ascii="Times New Roman" w:hAnsi="Times New Roman" w:eastAsia="仿宋_GB2312" w:cs="Times New Roman"/>
          <w:b/>
          <w:bCs/>
          <w:kern w:val="2"/>
          <w:sz w:val="32"/>
          <w:szCs w:val="32"/>
          <w:lang w:val="en-US" w:eastAsia="zh-CN" w:bidi="ar-SA"/>
        </w:rPr>
        <w:t>研究目标：</w:t>
      </w:r>
      <w:r>
        <w:rPr>
          <w:rFonts w:ascii="Times New Roman" w:hAnsi="Times New Roman" w:eastAsia="仿宋_GB2312" w:cs="Times New Roman"/>
          <w:kern w:val="2"/>
          <w:sz w:val="32"/>
          <w:szCs w:val="32"/>
          <w:lang w:val="en-US" w:eastAsia="zh-CN" w:bidi="ar-SA"/>
        </w:rPr>
        <w:t>发现并验证具有“养菌抑癌”功效的天然活性成分1</w:t>
      </w:r>
      <w:r>
        <w:rPr>
          <w:rFonts w:hint="eastAsia" w:ascii="Times New Roman" w:hAnsi="Times New Roman" w:eastAsia="仿宋_GB2312" w:cs="Times New Roman"/>
          <w:kern w:val="2"/>
          <w:sz w:val="32"/>
          <w:szCs w:val="32"/>
          <w:lang w:val="en-US" w:eastAsia="zh-CN" w:bidi="ar-SA"/>
        </w:rPr>
        <w:t>—</w:t>
      </w:r>
      <w:r>
        <w:rPr>
          <w:rFonts w:ascii="Times New Roman" w:hAnsi="Times New Roman" w:eastAsia="仿宋_GB2312" w:cs="Times New Roman"/>
          <w:kern w:val="2"/>
          <w:sz w:val="32"/>
          <w:szCs w:val="32"/>
          <w:lang w:val="en-US" w:eastAsia="zh-CN" w:bidi="ar-SA"/>
        </w:rPr>
        <w:t>2种；建立整合菌群与靶蛋白的多参数生物标志物模型</w:t>
      </w:r>
      <w:r>
        <w:rPr>
          <w:rFonts w:hint="eastAsia" w:ascii="Times New Roman" w:hAnsi="Times New Roman" w:eastAsia="仿宋_GB2312" w:cs="Times New Roman"/>
          <w:kern w:val="2"/>
          <w:sz w:val="32"/>
          <w:szCs w:val="32"/>
          <w:lang w:val="en-US" w:eastAsia="zh-CN" w:bidi="ar-SA"/>
        </w:rPr>
        <w:t>1种；制定精准干预和评估预后的新方案1种</w:t>
      </w:r>
      <w:r>
        <w:rPr>
          <w:rFonts w:ascii="Times New Roman" w:hAnsi="Times New Roman" w:eastAsia="仿宋_GB2312" w:cs="Times New Roman"/>
          <w:kern w:val="2"/>
          <w:sz w:val="32"/>
          <w:szCs w:val="32"/>
          <w:lang w:val="en-US" w:eastAsia="zh-CN" w:bidi="ar-SA"/>
        </w:rPr>
        <w:t>。</w:t>
      </w:r>
    </w:p>
    <w:p w14:paraId="66D4A1D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12.</w:t>
      </w:r>
      <w:r>
        <w:rPr>
          <w:rFonts w:ascii="Times New Roman" w:hAnsi="Times New Roman" w:eastAsia="仿宋_GB2312" w:cs="Times New Roman"/>
          <w:b/>
          <w:bCs/>
          <w:spacing w:val="0"/>
          <w:sz w:val="32"/>
          <w:szCs w:val="32"/>
        </w:rPr>
        <w:t>胆汁酸代谢调控炎症性肠病并发情绪障碍的肠脑互作</w:t>
      </w:r>
      <w:r>
        <w:rPr>
          <w:rFonts w:hint="eastAsia" w:ascii="Times New Roman" w:hAnsi="Times New Roman" w:eastAsia="仿宋_GB2312" w:cs="Times New Roman"/>
          <w:b/>
          <w:bCs/>
          <w:spacing w:val="0"/>
          <w:sz w:val="32"/>
          <w:szCs w:val="32"/>
        </w:rPr>
        <w:t>靶点</w:t>
      </w:r>
      <w:r>
        <w:rPr>
          <w:rFonts w:ascii="Times New Roman" w:hAnsi="Times New Roman" w:eastAsia="仿宋_GB2312" w:cs="Times New Roman"/>
          <w:b/>
          <w:bCs/>
          <w:spacing w:val="0"/>
          <w:sz w:val="32"/>
          <w:szCs w:val="32"/>
        </w:rPr>
        <w:t>及精准诊疗策略</w:t>
      </w:r>
      <w:r>
        <w:rPr>
          <w:rFonts w:hint="eastAsia" w:ascii="Times New Roman" w:hAnsi="Times New Roman" w:eastAsia="仿宋_GB2312" w:cs="Times New Roman"/>
          <w:b/>
          <w:bCs/>
          <w:spacing w:val="0"/>
          <w:sz w:val="32"/>
          <w:szCs w:val="32"/>
        </w:rPr>
        <w:t>研究</w:t>
      </w:r>
      <w:r>
        <w:rPr>
          <w:rFonts w:ascii="Times New Roman" w:hAnsi="Times New Roman" w:eastAsia="仿宋_GB2312" w:cs="Times New Roman"/>
          <w:spacing w:val="0"/>
          <w:sz w:val="32"/>
          <w:szCs w:val="32"/>
        </w:rPr>
        <w:t>（申报学科代码1选择H</w:t>
      </w:r>
      <w:r>
        <w:rPr>
          <w:rFonts w:hint="eastAsia" w:ascii="Times New Roman" w:hAnsi="Times New Roman" w:eastAsia="仿宋_GB2312" w:cs="Times New Roman"/>
          <w:spacing w:val="0"/>
          <w:sz w:val="32"/>
          <w:szCs w:val="32"/>
        </w:rPr>
        <w:t>03</w:t>
      </w:r>
      <w:r>
        <w:rPr>
          <w:rFonts w:ascii="Times New Roman" w:hAnsi="Times New Roman" w:eastAsia="仿宋_GB2312" w:cs="Times New Roman"/>
          <w:spacing w:val="0"/>
          <w:sz w:val="32"/>
          <w:szCs w:val="32"/>
        </w:rPr>
        <w:t>的下属代码）</w:t>
      </w:r>
    </w:p>
    <w:p w14:paraId="059BD16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聚焦</w:t>
      </w:r>
      <w:r>
        <w:rPr>
          <w:rFonts w:ascii="Times New Roman" w:hAnsi="Times New Roman" w:eastAsia="仿宋_GB2312" w:cs="Times New Roman"/>
          <w:spacing w:val="0"/>
          <w:sz w:val="32"/>
          <w:szCs w:val="32"/>
        </w:rPr>
        <w:t>炎症性肠病常伴发焦虑、抑郁等情绪障碍</w:t>
      </w:r>
      <w:r>
        <w:rPr>
          <w:rFonts w:hint="eastAsia" w:ascii="Times New Roman" w:hAnsi="Times New Roman" w:eastAsia="仿宋_GB2312" w:cs="Times New Roman"/>
          <w:spacing w:val="0"/>
          <w:sz w:val="32"/>
          <w:szCs w:val="32"/>
        </w:rPr>
        <w:t>的</w:t>
      </w:r>
      <w:r>
        <w:rPr>
          <w:rFonts w:ascii="Times New Roman" w:hAnsi="Times New Roman" w:eastAsia="仿宋_GB2312" w:cs="Times New Roman"/>
          <w:spacing w:val="0"/>
          <w:sz w:val="32"/>
          <w:szCs w:val="32"/>
        </w:rPr>
        <w:t>临床问题</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建立炎症性肠病并发情绪障碍的临床队列，明确菌群</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情绪症状的关联特征</w:t>
      </w:r>
      <w:r>
        <w:rPr>
          <w:rFonts w:hint="eastAsia" w:ascii="Times New Roman" w:hAnsi="Times New Roman" w:eastAsia="仿宋_GB2312" w:cs="Times New Roman"/>
          <w:spacing w:val="0"/>
          <w:sz w:val="32"/>
          <w:szCs w:val="32"/>
        </w:rPr>
        <w:t>；以</w:t>
      </w:r>
      <w:r>
        <w:rPr>
          <w:rFonts w:ascii="Times New Roman" w:hAnsi="Times New Roman" w:eastAsia="仿宋_GB2312" w:cs="Times New Roman"/>
          <w:spacing w:val="0"/>
          <w:sz w:val="32"/>
          <w:szCs w:val="32"/>
        </w:rPr>
        <w:t>肠脑轴</w:t>
      </w:r>
      <w:r>
        <w:rPr>
          <w:rFonts w:hint="eastAsia" w:ascii="Times New Roman" w:hAnsi="Times New Roman" w:eastAsia="仿宋_GB2312" w:cs="Times New Roman"/>
          <w:spacing w:val="0"/>
          <w:sz w:val="32"/>
          <w:szCs w:val="32"/>
        </w:rPr>
        <w:t>为切入点</w:t>
      </w:r>
      <w:r>
        <w:rPr>
          <w:rFonts w:ascii="Times New Roman" w:hAnsi="Times New Roman" w:eastAsia="仿宋_GB2312" w:cs="Times New Roman"/>
          <w:spacing w:val="0"/>
          <w:sz w:val="32"/>
          <w:szCs w:val="32"/>
        </w:rPr>
        <w:t>，运用多组学技术，揭示胆汁酸代谢在其中的调控</w:t>
      </w:r>
      <w:r>
        <w:rPr>
          <w:rFonts w:hint="eastAsia" w:ascii="Times New Roman" w:hAnsi="Times New Roman" w:eastAsia="仿宋_GB2312" w:cs="Times New Roman"/>
          <w:spacing w:val="0"/>
          <w:sz w:val="32"/>
          <w:szCs w:val="32"/>
        </w:rPr>
        <w:t>作用</w:t>
      </w:r>
      <w:r>
        <w:rPr>
          <w:rFonts w:ascii="Times New Roman" w:hAnsi="Times New Roman" w:eastAsia="仿宋_GB2312" w:cs="Times New Roman"/>
          <w:spacing w:val="0"/>
          <w:sz w:val="32"/>
          <w:szCs w:val="32"/>
        </w:rPr>
        <w:t>，阐明肠道特定菌与宿主靶器官之间的分子互作网络，筛选治疗靶点，为开发炎症性肠病并发情绪障碍的靶向药物及精准诊疗提供科学依据。</w:t>
      </w:r>
    </w:p>
    <w:p w14:paraId="18AE9FB0">
      <w:pPr>
        <w:keepNext w:val="0"/>
        <w:keepLines w:val="0"/>
        <w:pageBreakBefore w:val="0"/>
        <w:widowControl w:val="0"/>
        <w:kinsoku/>
        <w:wordWrap/>
        <w:overflowPunct/>
        <w:topLinePunct w:val="0"/>
        <w:bidi w:val="0"/>
        <w:snapToGrid/>
        <w:spacing w:before="0" w:line="600" w:lineRule="exact"/>
        <w:ind w:left="0" w:leftChars="0" w:firstLine="643" w:firstLineChars="200"/>
        <w:textAlignment w:val="baseline"/>
        <w:rPr>
          <w:rFonts w:ascii="Times New Roman" w:hAnsi="Times New Roman" w:eastAsia="仿宋_GB2312" w:cs="Times New Roman"/>
          <w:b/>
          <w:bCs/>
          <w:spacing w:val="-17"/>
          <w:sz w:val="32"/>
          <w:szCs w:val="32"/>
        </w:rPr>
      </w:pPr>
      <w:r>
        <w:rPr>
          <w:rFonts w:ascii="Times New Roman" w:hAnsi="Times New Roman" w:eastAsia="仿宋_GB2312" w:cs="Times New Roman"/>
          <w:b/>
          <w:bCs/>
          <w:spacing w:val="0"/>
          <w:sz w:val="32"/>
          <w:szCs w:val="32"/>
        </w:rPr>
        <w:t>研究目标：</w:t>
      </w:r>
      <w:r>
        <w:rPr>
          <w:rFonts w:ascii="Times New Roman" w:hAnsi="Times New Roman" w:eastAsia="仿宋_GB2312" w:cs="Times New Roman"/>
          <w:spacing w:val="0"/>
          <w:sz w:val="32"/>
          <w:szCs w:val="32"/>
        </w:rPr>
        <w:t>鉴定</w:t>
      </w:r>
      <w:r>
        <w:rPr>
          <w:rFonts w:hint="eastAsia" w:ascii="Times New Roman" w:hAnsi="Times New Roman" w:eastAsia="仿宋_GB2312" w:cs="Times New Roman"/>
          <w:spacing w:val="0"/>
          <w:sz w:val="32"/>
          <w:szCs w:val="32"/>
        </w:rPr>
        <w:t>与</w:t>
      </w:r>
      <w:r>
        <w:rPr>
          <w:rFonts w:ascii="Times New Roman" w:hAnsi="Times New Roman" w:eastAsia="仿宋_GB2312" w:cs="Times New Roman"/>
          <w:spacing w:val="0"/>
          <w:sz w:val="32"/>
          <w:szCs w:val="32"/>
        </w:rPr>
        <w:t>炎症性肠病</w:t>
      </w:r>
      <w:r>
        <w:rPr>
          <w:rFonts w:hint="eastAsia" w:ascii="Times New Roman" w:hAnsi="Times New Roman" w:eastAsia="仿宋_GB2312" w:cs="Times New Roman"/>
          <w:spacing w:val="0"/>
          <w:sz w:val="32"/>
          <w:szCs w:val="32"/>
        </w:rPr>
        <w:t>并发</w:t>
      </w:r>
      <w:r>
        <w:rPr>
          <w:rFonts w:ascii="Times New Roman" w:hAnsi="Times New Roman" w:eastAsia="仿宋_GB2312" w:cs="Times New Roman"/>
          <w:spacing w:val="0"/>
          <w:sz w:val="32"/>
          <w:szCs w:val="32"/>
        </w:rPr>
        <w:t>情绪障碍</w:t>
      </w:r>
      <w:r>
        <w:rPr>
          <w:rFonts w:hint="eastAsia" w:ascii="Times New Roman" w:hAnsi="Times New Roman" w:eastAsia="仿宋_GB2312" w:cs="Times New Roman"/>
          <w:spacing w:val="0"/>
          <w:sz w:val="32"/>
          <w:szCs w:val="32"/>
        </w:rPr>
        <w:t>相关</w:t>
      </w:r>
      <w:r>
        <w:rPr>
          <w:rFonts w:ascii="Times New Roman" w:hAnsi="Times New Roman" w:eastAsia="仿宋_GB2312" w:cs="Times New Roman"/>
          <w:spacing w:val="0"/>
          <w:sz w:val="32"/>
          <w:szCs w:val="32"/>
        </w:rPr>
        <w:t>的肠道菌株</w:t>
      </w:r>
      <w:r>
        <w:rPr>
          <w:rFonts w:ascii="Times New Roman" w:hAnsi="Times New Roman" w:eastAsia="仿宋_GB2312" w:cs="Times New Roman"/>
          <w:spacing w:val="-11"/>
          <w:sz w:val="32"/>
          <w:szCs w:val="32"/>
        </w:rPr>
        <w:t>1</w:t>
      </w:r>
      <w:r>
        <w:rPr>
          <w:rFonts w:hint="eastAsia" w:ascii="Times New Roman" w:hAnsi="Times New Roman" w:eastAsia="仿宋_GB2312" w:cs="Times New Roman"/>
          <w:spacing w:val="-17"/>
          <w:sz w:val="32"/>
          <w:szCs w:val="32"/>
          <w:lang w:eastAsia="zh-CN"/>
        </w:rPr>
        <w:t>—</w:t>
      </w:r>
      <w:r>
        <w:rPr>
          <w:rFonts w:ascii="Times New Roman" w:hAnsi="Times New Roman" w:eastAsia="仿宋_GB2312" w:cs="Times New Roman"/>
          <w:spacing w:val="-17"/>
          <w:sz w:val="32"/>
          <w:szCs w:val="32"/>
        </w:rPr>
        <w:t>2种</w:t>
      </w:r>
      <w:r>
        <w:rPr>
          <w:rFonts w:hint="eastAsia" w:ascii="Times New Roman" w:hAnsi="Times New Roman" w:eastAsia="仿宋_GB2312" w:cs="Times New Roman"/>
          <w:spacing w:val="-17"/>
          <w:sz w:val="32"/>
          <w:szCs w:val="32"/>
          <w:lang w:eastAsia="zh-CN"/>
        </w:rPr>
        <w:t>；</w:t>
      </w:r>
      <w:r>
        <w:rPr>
          <w:rFonts w:hint="eastAsia" w:ascii="Times New Roman" w:hAnsi="Times New Roman" w:eastAsia="仿宋_GB2312" w:cs="Times New Roman"/>
          <w:spacing w:val="-17"/>
          <w:sz w:val="32"/>
          <w:szCs w:val="32"/>
        </w:rPr>
        <w:t>筛选并验证具有临床转化潜能的胆汁酸代谢调控新靶标1</w:t>
      </w:r>
      <w:r>
        <w:rPr>
          <w:rFonts w:hint="eastAsia" w:ascii="Times New Roman" w:hAnsi="Times New Roman" w:eastAsia="仿宋_GB2312" w:cs="Times New Roman"/>
          <w:spacing w:val="-17"/>
          <w:sz w:val="32"/>
          <w:szCs w:val="32"/>
          <w:lang w:eastAsia="zh-CN"/>
        </w:rPr>
        <w:t>—</w:t>
      </w:r>
      <w:r>
        <w:rPr>
          <w:rFonts w:hint="eastAsia" w:ascii="Times New Roman" w:hAnsi="Times New Roman" w:eastAsia="仿宋_GB2312" w:cs="Times New Roman"/>
          <w:spacing w:val="-17"/>
          <w:sz w:val="32"/>
          <w:szCs w:val="32"/>
        </w:rPr>
        <w:t>2个</w:t>
      </w:r>
      <w:r>
        <w:rPr>
          <w:rFonts w:ascii="Times New Roman" w:hAnsi="Times New Roman" w:eastAsia="仿宋_GB2312" w:cs="Times New Roman"/>
          <w:spacing w:val="-17"/>
          <w:sz w:val="32"/>
          <w:szCs w:val="32"/>
        </w:rPr>
        <w:t>。</w:t>
      </w:r>
    </w:p>
    <w:p w14:paraId="08ED61B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color w:val="EE0000"/>
          <w:spacing w:val="0"/>
          <w:sz w:val="32"/>
          <w:szCs w:val="32"/>
        </w:rPr>
      </w:pPr>
      <w:r>
        <w:rPr>
          <w:rFonts w:hint="eastAsia" w:ascii="Times New Roman" w:hAnsi="Times New Roman" w:eastAsia="仿宋_GB2312" w:cs="Times New Roman"/>
          <w:b/>
          <w:bCs/>
          <w:spacing w:val="0"/>
          <w:sz w:val="32"/>
          <w:szCs w:val="32"/>
        </w:rPr>
        <w:t>13</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女性生殖功能障碍的再生策略研究</w:t>
      </w:r>
      <w:r>
        <w:rPr>
          <w:rFonts w:ascii="Times New Roman" w:hAnsi="Times New Roman" w:eastAsia="仿宋_GB2312" w:cs="Times New Roman"/>
          <w:spacing w:val="0"/>
          <w:sz w:val="32"/>
          <w:szCs w:val="32"/>
        </w:rPr>
        <w:t>（申报学科代码1选择</w:t>
      </w:r>
      <w:r>
        <w:rPr>
          <w:rFonts w:hint="eastAsia" w:ascii="Times New Roman" w:hAnsi="Times New Roman" w:eastAsia="仿宋_GB2312" w:cs="Times New Roman"/>
          <w:bCs/>
          <w:spacing w:val="0"/>
          <w:sz w:val="32"/>
          <w:szCs w:val="32"/>
        </w:rPr>
        <w:t>H</w:t>
      </w:r>
      <w:r>
        <w:rPr>
          <w:rFonts w:ascii="Times New Roman" w:hAnsi="Times New Roman" w:eastAsia="仿宋_GB2312" w:cs="Times New Roman"/>
          <w:bCs/>
          <w:spacing w:val="0"/>
          <w:sz w:val="32"/>
          <w:szCs w:val="32"/>
        </w:rPr>
        <w:t>04、H18</w:t>
      </w:r>
      <w:r>
        <w:rPr>
          <w:rFonts w:ascii="Times New Roman" w:hAnsi="Times New Roman" w:eastAsia="仿宋_GB2312" w:cs="Times New Roman"/>
          <w:spacing w:val="0"/>
          <w:sz w:val="32"/>
          <w:szCs w:val="32"/>
        </w:rPr>
        <w:t>的下属代码）</w:t>
      </w:r>
    </w:p>
    <w:p w14:paraId="650BFFB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针对女性生育力衰退临床干预手段匮乏的挑战，围绕卵巢微环境失衡这一核心问题，采用基础研究、临床样本分析与工程技术融合的研究策略，</w:t>
      </w:r>
      <w:r>
        <w:rPr>
          <w:rFonts w:ascii="Times New Roman" w:hAnsi="Times New Roman" w:eastAsia="仿宋_GB2312" w:cs="Times New Roman"/>
          <w:spacing w:val="0"/>
          <w:sz w:val="32"/>
          <w:szCs w:val="32"/>
        </w:rPr>
        <w:t>揭示其</w:t>
      </w:r>
      <w:r>
        <w:rPr>
          <w:rFonts w:ascii="Times New Roman" w:hAnsi="Times New Roman" w:eastAsia="仿宋_GB2312" w:cs="Times New Roman"/>
          <w:bCs/>
          <w:spacing w:val="0"/>
          <w:sz w:val="32"/>
          <w:szCs w:val="32"/>
        </w:rPr>
        <w:t>免疫炎症</w:t>
      </w:r>
      <w:r>
        <w:rPr>
          <w:rFonts w:hint="eastAsia" w:ascii="Times New Roman" w:hAnsi="Times New Roman" w:eastAsia="仿宋_GB2312" w:cs="Times New Roman"/>
          <w:bCs/>
          <w:spacing w:val="0"/>
          <w:sz w:val="32"/>
          <w:szCs w:val="32"/>
          <w:lang w:eastAsia="zh-CN"/>
        </w:rPr>
        <w:t>—</w:t>
      </w:r>
      <w:r>
        <w:rPr>
          <w:rFonts w:ascii="Times New Roman" w:hAnsi="Times New Roman" w:eastAsia="仿宋_GB2312" w:cs="Times New Roman"/>
          <w:bCs/>
          <w:spacing w:val="0"/>
          <w:sz w:val="32"/>
          <w:szCs w:val="32"/>
        </w:rPr>
        <w:t>氧化应激</w:t>
      </w:r>
      <w:r>
        <w:rPr>
          <w:rFonts w:hint="eastAsia" w:ascii="Times New Roman" w:hAnsi="Times New Roman" w:eastAsia="仿宋_GB2312" w:cs="Times New Roman"/>
          <w:bCs/>
          <w:spacing w:val="0"/>
          <w:sz w:val="32"/>
          <w:szCs w:val="32"/>
          <w:lang w:eastAsia="zh-CN"/>
        </w:rPr>
        <w:t>—</w:t>
      </w:r>
      <w:r>
        <w:rPr>
          <w:rFonts w:ascii="Times New Roman" w:hAnsi="Times New Roman" w:eastAsia="仿宋_GB2312" w:cs="Times New Roman"/>
          <w:bCs/>
          <w:spacing w:val="0"/>
          <w:sz w:val="32"/>
          <w:szCs w:val="32"/>
        </w:rPr>
        <w:t>细胞衰老</w:t>
      </w:r>
      <w:r>
        <w:rPr>
          <w:rFonts w:ascii="Times New Roman" w:hAnsi="Times New Roman" w:eastAsia="仿宋_GB2312" w:cs="Times New Roman"/>
          <w:spacing w:val="0"/>
          <w:sz w:val="32"/>
          <w:szCs w:val="32"/>
        </w:rPr>
        <w:t>的病理网络</w:t>
      </w:r>
      <w:r>
        <w:rPr>
          <w:rFonts w:hint="eastAsia" w:ascii="Times New Roman" w:hAnsi="Times New Roman" w:eastAsia="仿宋_GB2312" w:cs="Times New Roman"/>
          <w:spacing w:val="0"/>
          <w:sz w:val="32"/>
          <w:szCs w:val="32"/>
        </w:rPr>
        <w:t>；建立患者来源的卵巢类器官，结合多组学分析与临床队列，筛选女性生育力损伤、脂代谢异常的关键分子标志物；依托干细胞、组织工程材料及3D生物打印等医工融合技术，研发促进卵巢微环境重建的再生医学干预策略；构建基于类器官的高通量药物筛选平台，</w:t>
      </w:r>
      <w:r>
        <w:rPr>
          <w:rFonts w:ascii="Times New Roman" w:hAnsi="Times New Roman" w:eastAsia="仿宋_GB2312" w:cs="Times New Roman"/>
          <w:spacing w:val="0"/>
          <w:sz w:val="32"/>
          <w:szCs w:val="32"/>
        </w:rPr>
        <w:t>为女性生殖功能的精准重建提供理论与技术解决方案</w:t>
      </w:r>
      <w:r>
        <w:rPr>
          <w:rFonts w:hint="eastAsia" w:ascii="Times New Roman" w:hAnsi="Times New Roman" w:eastAsia="仿宋_GB2312" w:cs="Times New Roman"/>
          <w:spacing w:val="0"/>
          <w:sz w:val="32"/>
          <w:szCs w:val="32"/>
        </w:rPr>
        <w:t>。</w:t>
      </w:r>
    </w:p>
    <w:p w14:paraId="36F7F03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ascii="Times New Roman" w:hAnsi="Times New Roman" w:eastAsia="仿宋_GB2312" w:cs="Times New Roman"/>
          <w:spacing w:val="0"/>
          <w:sz w:val="32"/>
          <w:szCs w:val="32"/>
        </w:rPr>
        <w:t>研发再生医学新技术1</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2项；</w:t>
      </w:r>
      <w:r>
        <w:rPr>
          <w:rFonts w:hint="eastAsia" w:ascii="Times New Roman" w:hAnsi="Times New Roman" w:eastAsia="仿宋_GB2312" w:cs="Times New Roman"/>
          <w:spacing w:val="0"/>
          <w:sz w:val="32"/>
          <w:szCs w:val="32"/>
        </w:rPr>
        <w:t>研制</w:t>
      </w:r>
      <w:r>
        <w:rPr>
          <w:rFonts w:ascii="Times New Roman" w:hAnsi="Times New Roman" w:eastAsia="仿宋_GB2312" w:cs="Times New Roman"/>
          <w:spacing w:val="0"/>
          <w:sz w:val="32"/>
          <w:szCs w:val="32"/>
        </w:rPr>
        <w:t>基于3D打印技术的个性化卵巢组织支架1件</w:t>
      </w:r>
      <w:r>
        <w:rPr>
          <w:rFonts w:hint="eastAsia" w:ascii="Times New Roman" w:hAnsi="Times New Roman" w:eastAsia="仿宋_GB2312" w:cs="Times New Roman"/>
          <w:spacing w:val="0"/>
          <w:sz w:val="32"/>
          <w:szCs w:val="32"/>
        </w:rPr>
        <w:t>；建立稳定患者来源的卵巢类器官模型1套；构建药物筛选平台1个；筛选候选药物2</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3种。</w:t>
      </w:r>
    </w:p>
    <w:p w14:paraId="6FC1F6C1">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14</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关节炎治疗新技术</w:t>
      </w:r>
      <w:r>
        <w:rPr>
          <w:rFonts w:ascii="Times New Roman" w:hAnsi="Times New Roman" w:eastAsia="仿宋_GB2312" w:cs="Times New Roman"/>
          <w:spacing w:val="0"/>
          <w:sz w:val="32"/>
          <w:szCs w:val="32"/>
        </w:rPr>
        <w:t>（申报学科代码1选择H0</w:t>
      </w:r>
      <w:r>
        <w:rPr>
          <w:rFonts w:hint="eastAsia" w:ascii="Times New Roman" w:hAnsi="Times New Roman" w:eastAsia="仿宋_GB2312" w:cs="Times New Roman"/>
          <w:spacing w:val="0"/>
          <w:sz w:val="32"/>
          <w:szCs w:val="32"/>
        </w:rPr>
        <w:t>6</w:t>
      </w:r>
      <w:r>
        <w:rPr>
          <w:rFonts w:ascii="Times New Roman" w:hAnsi="Times New Roman" w:eastAsia="仿宋_GB2312" w:cs="Times New Roman"/>
          <w:spacing w:val="0"/>
          <w:sz w:val="32"/>
          <w:szCs w:val="32"/>
        </w:rPr>
        <w:t>、H</w:t>
      </w:r>
      <w:r>
        <w:rPr>
          <w:rFonts w:hint="eastAsia" w:ascii="Times New Roman" w:hAnsi="Times New Roman" w:eastAsia="仿宋_GB2312" w:cs="Times New Roman"/>
          <w:spacing w:val="0"/>
          <w:sz w:val="32"/>
          <w:szCs w:val="32"/>
        </w:rPr>
        <w:t>30</w:t>
      </w:r>
      <w:r>
        <w:rPr>
          <w:rFonts w:ascii="Times New Roman" w:hAnsi="Times New Roman" w:eastAsia="仿宋_GB2312" w:cs="Times New Roman"/>
          <w:spacing w:val="0"/>
          <w:sz w:val="32"/>
          <w:szCs w:val="32"/>
        </w:rPr>
        <w:t>的下属代码）</w:t>
      </w:r>
    </w:p>
    <w:p w14:paraId="449D7BC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Cs/>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bCs/>
          <w:spacing w:val="0"/>
          <w:sz w:val="32"/>
          <w:szCs w:val="32"/>
        </w:rPr>
        <w:t>聚焦关节炎及术后并发症的临床治疗难题，采用临床队列与基础研究相结合的策略，</w:t>
      </w:r>
      <w:r>
        <w:rPr>
          <w:rFonts w:ascii="Times New Roman" w:hAnsi="Times New Roman" w:eastAsia="仿宋_GB2312" w:cs="Times New Roman"/>
          <w:bCs/>
          <w:spacing w:val="0"/>
          <w:sz w:val="32"/>
          <w:szCs w:val="32"/>
        </w:rPr>
        <w:t>运用多组学联合分析技术，系统解析</w:t>
      </w:r>
      <w:r>
        <w:rPr>
          <w:rFonts w:hint="eastAsia" w:ascii="Times New Roman" w:hAnsi="Times New Roman" w:eastAsia="仿宋_GB2312" w:cs="Times New Roman"/>
          <w:bCs/>
          <w:spacing w:val="0"/>
          <w:sz w:val="32"/>
          <w:szCs w:val="32"/>
        </w:rPr>
        <w:t>骨</w:t>
      </w:r>
      <w:r>
        <w:rPr>
          <w:rFonts w:ascii="Times New Roman" w:hAnsi="Times New Roman" w:eastAsia="仿宋_GB2312" w:cs="Times New Roman"/>
          <w:bCs/>
          <w:spacing w:val="0"/>
          <w:sz w:val="32"/>
          <w:szCs w:val="32"/>
        </w:rPr>
        <w:t>关节炎发生发展</w:t>
      </w:r>
      <w:r>
        <w:rPr>
          <w:rFonts w:hint="eastAsia" w:ascii="Times New Roman" w:hAnsi="Times New Roman" w:eastAsia="仿宋_GB2312" w:cs="Times New Roman"/>
          <w:bCs/>
          <w:spacing w:val="0"/>
          <w:sz w:val="32"/>
          <w:szCs w:val="32"/>
        </w:rPr>
        <w:t>及</w:t>
      </w:r>
      <w:r>
        <w:rPr>
          <w:rFonts w:ascii="Times New Roman" w:hAnsi="Times New Roman" w:eastAsia="仿宋_GB2312" w:cs="Times New Roman"/>
          <w:bCs/>
          <w:spacing w:val="0"/>
          <w:sz w:val="32"/>
          <w:szCs w:val="32"/>
        </w:rPr>
        <w:t>关节术后并发症的关键分子调控网络；探索基于干细胞外泌体等生物活性材料的精准治疗</w:t>
      </w:r>
      <w:r>
        <w:rPr>
          <w:rFonts w:hint="eastAsia" w:ascii="Times New Roman" w:hAnsi="Times New Roman" w:eastAsia="仿宋_GB2312" w:cs="Times New Roman"/>
          <w:bCs/>
          <w:spacing w:val="0"/>
          <w:sz w:val="32"/>
          <w:szCs w:val="32"/>
        </w:rPr>
        <w:t>新技术和新方案。</w:t>
      </w:r>
    </w:p>
    <w:p w14:paraId="3C5E38B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Cs/>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bCs/>
          <w:spacing w:val="0"/>
          <w:sz w:val="32"/>
          <w:szCs w:val="32"/>
        </w:rPr>
        <w:t>开发工程化的软骨靶向载药外泌体1个；研制多功能靶向肽段和基因编辑修饰的杂化干细胞外泌体</w:t>
      </w:r>
      <w:r>
        <w:rPr>
          <w:rFonts w:hint="eastAsia" w:ascii="Times New Roman" w:hAnsi="Times New Roman" w:eastAsia="仿宋_GB2312" w:cs="Times New Roman"/>
          <w:bCs/>
          <w:spacing w:val="0"/>
          <w:sz w:val="32"/>
          <w:szCs w:val="32"/>
          <w:lang w:eastAsia="zh-CN"/>
        </w:rPr>
        <w:t>—</w:t>
      </w:r>
      <w:r>
        <w:rPr>
          <w:rFonts w:hint="eastAsia" w:ascii="Times New Roman" w:hAnsi="Times New Roman" w:eastAsia="仿宋_GB2312" w:cs="Times New Roman"/>
          <w:bCs/>
          <w:spacing w:val="0"/>
          <w:sz w:val="32"/>
          <w:szCs w:val="32"/>
        </w:rPr>
        <w:t>水凝胶共递送体系1套；研制骨关节炎智能诊治系统1套；制定膝关节前内</w:t>
      </w:r>
      <w:r>
        <w:rPr>
          <w:rFonts w:hint="eastAsia" w:ascii="Times New Roman" w:hAnsi="Times New Roman" w:eastAsia="仿宋_GB2312" w:cs="Times New Roman"/>
          <w:bCs/>
          <w:spacing w:val="-6"/>
          <w:sz w:val="32"/>
          <w:szCs w:val="32"/>
        </w:rPr>
        <w:t>侧骨关节炎精准诊疗指南1项；形成术后并发症早期干预策略1个。</w:t>
      </w:r>
    </w:p>
    <w:p w14:paraId="5F96E53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Cs/>
          <w:spacing w:val="0"/>
          <w:sz w:val="32"/>
          <w:szCs w:val="32"/>
        </w:rPr>
      </w:pPr>
      <w:r>
        <w:rPr>
          <w:rFonts w:hint="eastAsia" w:ascii="Times New Roman" w:hAnsi="Times New Roman" w:eastAsia="仿宋_GB2312" w:cs="Times New Roman"/>
          <w:b/>
          <w:bCs/>
          <w:spacing w:val="0"/>
          <w:sz w:val="32"/>
          <w:szCs w:val="32"/>
        </w:rPr>
        <w:t>15.骨损伤及修复的精准诊疗技术</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申报学科代码1选择</w:t>
      </w:r>
      <w:r>
        <w:rPr>
          <w:rFonts w:hint="eastAsia" w:ascii="Times New Roman" w:hAnsi="Times New Roman" w:eastAsia="仿宋_GB2312" w:cs="Times New Roman"/>
          <w:spacing w:val="0"/>
          <w:sz w:val="32"/>
          <w:szCs w:val="32"/>
        </w:rPr>
        <w:t>H06的下属代码）</w:t>
      </w:r>
    </w:p>
    <w:p w14:paraId="5409B45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Cs/>
          <w:spacing w:val="-6"/>
          <w:sz w:val="32"/>
          <w:szCs w:val="32"/>
        </w:rPr>
      </w:pPr>
      <w:r>
        <w:rPr>
          <w:rFonts w:hint="eastAsia" w:ascii="Times New Roman" w:hAnsi="Times New Roman" w:eastAsia="仿宋_GB2312" w:cs="Times New Roman"/>
          <w:b/>
          <w:spacing w:val="0"/>
          <w:sz w:val="32"/>
          <w:szCs w:val="32"/>
        </w:rPr>
        <w:t>研究内容：</w:t>
      </w:r>
      <w:r>
        <w:rPr>
          <w:rFonts w:hint="eastAsia" w:ascii="Times New Roman" w:hAnsi="Times New Roman" w:eastAsia="仿宋_GB2312" w:cs="Times New Roman"/>
          <w:bCs/>
          <w:spacing w:val="0"/>
          <w:sz w:val="32"/>
          <w:szCs w:val="32"/>
        </w:rPr>
        <w:t>针对各种原因（如感染</w:t>
      </w:r>
      <w:r>
        <w:rPr>
          <w:rFonts w:hint="eastAsia" w:ascii="Times New Roman" w:hAnsi="Times New Roman" w:eastAsia="仿宋_GB2312" w:cs="Times New Roman"/>
          <w:bCs/>
          <w:spacing w:val="0"/>
          <w:sz w:val="32"/>
          <w:szCs w:val="32"/>
          <w:lang w:eastAsia="zh-CN"/>
        </w:rPr>
        <w:t>、</w:t>
      </w:r>
      <w:r>
        <w:rPr>
          <w:rFonts w:hint="eastAsia" w:ascii="Times New Roman" w:hAnsi="Times New Roman" w:eastAsia="仿宋_GB2312" w:cs="Times New Roman"/>
          <w:bCs/>
          <w:spacing w:val="0"/>
          <w:sz w:val="32"/>
          <w:szCs w:val="32"/>
        </w:rPr>
        <w:t>创伤）导致骨损伤，结合临床队列样本与基础研究，应用多组学</w:t>
      </w:r>
      <w:r>
        <w:rPr>
          <w:rFonts w:hint="eastAsia" w:ascii="Times New Roman" w:hAnsi="Times New Roman" w:eastAsia="仿宋_GB2312" w:cs="Times New Roman"/>
          <w:bCs/>
          <w:spacing w:val="0"/>
          <w:sz w:val="32"/>
          <w:szCs w:val="32"/>
          <w:lang w:eastAsia="zh-CN"/>
        </w:rPr>
        <w:t>、</w:t>
      </w:r>
      <w:r>
        <w:rPr>
          <w:rFonts w:hint="eastAsia" w:ascii="Times New Roman" w:hAnsi="Times New Roman" w:eastAsia="仿宋_GB2312" w:cs="Times New Roman"/>
          <w:bCs/>
          <w:spacing w:val="0"/>
          <w:sz w:val="32"/>
          <w:szCs w:val="32"/>
        </w:rPr>
        <w:t>人工智能及相关前沿</w:t>
      </w:r>
      <w:r>
        <w:rPr>
          <w:rFonts w:hint="eastAsia" w:ascii="Times New Roman" w:hAnsi="Times New Roman" w:eastAsia="仿宋_GB2312" w:cs="Times New Roman"/>
          <w:bCs/>
          <w:spacing w:val="-6"/>
          <w:sz w:val="32"/>
          <w:szCs w:val="32"/>
        </w:rPr>
        <w:t>技术，开发精准骨修复的再生医学智能诊疗系统，实现个性化干预。</w:t>
      </w:r>
    </w:p>
    <w:p w14:paraId="722F666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等线" w:cs="Times New Roman"/>
          <w:spacing w:val="0"/>
          <w:sz w:val="21"/>
          <w:szCs w:val="22"/>
        </w:rPr>
      </w:pPr>
      <w:r>
        <w:rPr>
          <w:rFonts w:hint="eastAsia" w:ascii="Times New Roman" w:hAnsi="Times New Roman" w:eastAsia="仿宋_GB2312" w:cs="Times New Roman"/>
          <w:b/>
          <w:spacing w:val="0"/>
          <w:sz w:val="32"/>
          <w:szCs w:val="32"/>
        </w:rPr>
        <w:t>研究目标：</w:t>
      </w:r>
      <w:r>
        <w:rPr>
          <w:rFonts w:hint="eastAsia" w:ascii="Times New Roman" w:hAnsi="Times New Roman" w:eastAsia="仿宋_GB2312" w:cs="Times New Roman"/>
          <w:bCs/>
          <w:spacing w:val="0"/>
          <w:sz w:val="32"/>
          <w:szCs w:val="32"/>
        </w:rPr>
        <w:t>开发个体化靶向载药技术1</w:t>
      </w:r>
      <w:r>
        <w:rPr>
          <w:rFonts w:hint="eastAsia" w:ascii="Times New Roman" w:hAnsi="Times New Roman" w:eastAsia="仿宋_GB2312" w:cs="Times New Roman"/>
          <w:bCs/>
          <w:spacing w:val="0"/>
          <w:sz w:val="32"/>
          <w:szCs w:val="32"/>
          <w:lang w:eastAsia="zh-CN"/>
        </w:rPr>
        <w:t>—</w:t>
      </w:r>
      <w:r>
        <w:rPr>
          <w:rFonts w:hint="eastAsia" w:ascii="Times New Roman" w:hAnsi="Times New Roman" w:eastAsia="仿宋_GB2312" w:cs="Times New Roman"/>
          <w:bCs/>
          <w:spacing w:val="0"/>
          <w:sz w:val="32"/>
          <w:szCs w:val="32"/>
        </w:rPr>
        <w:t>2个；研发精准修复技术1种；制定骨损伤及修复相关临床治疗指南或行业标准1项。</w:t>
      </w:r>
    </w:p>
    <w:p w14:paraId="7FAC8EC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16</w:t>
      </w:r>
      <w:r>
        <w:rPr>
          <w:rFonts w:ascii="Times New Roman" w:hAnsi="Times New Roman" w:eastAsia="仿宋_GB2312" w:cs="Times New Roman"/>
          <w:b/>
          <w:bCs/>
          <w:spacing w:val="0"/>
          <w:sz w:val="32"/>
          <w:szCs w:val="32"/>
        </w:rPr>
        <w:t>.骨</w:t>
      </w:r>
      <w:r>
        <w:rPr>
          <w:rFonts w:hint="eastAsia" w:ascii="Times New Roman" w:hAnsi="Times New Roman" w:eastAsia="仿宋_GB2312" w:cs="Times New Roman"/>
          <w:b/>
          <w:bCs/>
          <w:spacing w:val="0"/>
          <w:sz w:val="32"/>
          <w:szCs w:val="32"/>
        </w:rPr>
        <w:t>折、骨质疏松</w:t>
      </w:r>
      <w:r>
        <w:rPr>
          <w:rFonts w:ascii="Times New Roman" w:hAnsi="Times New Roman" w:eastAsia="仿宋_GB2312" w:cs="Times New Roman"/>
          <w:b/>
          <w:bCs/>
          <w:spacing w:val="0"/>
          <w:sz w:val="32"/>
          <w:szCs w:val="32"/>
        </w:rPr>
        <w:t>治疗</w:t>
      </w:r>
      <w:r>
        <w:rPr>
          <w:rFonts w:hint="eastAsia" w:ascii="Times New Roman" w:hAnsi="Times New Roman" w:eastAsia="仿宋_GB2312" w:cs="Times New Roman"/>
          <w:b/>
          <w:bCs/>
          <w:spacing w:val="0"/>
          <w:sz w:val="32"/>
          <w:szCs w:val="32"/>
        </w:rPr>
        <w:t>与康复关键技术</w:t>
      </w:r>
      <w:r>
        <w:rPr>
          <w:rFonts w:ascii="Times New Roman" w:hAnsi="Times New Roman" w:eastAsia="仿宋_GB2312" w:cs="Times New Roman"/>
          <w:spacing w:val="0"/>
          <w:sz w:val="32"/>
          <w:szCs w:val="32"/>
        </w:rPr>
        <w:t>（申报学科代码1选择</w:t>
      </w:r>
      <w:r>
        <w:rPr>
          <w:rFonts w:hint="eastAsia" w:ascii="Times New Roman" w:hAnsi="Times New Roman" w:eastAsia="仿宋_GB2312" w:cs="Times New Roman"/>
          <w:spacing w:val="0"/>
          <w:sz w:val="32"/>
          <w:szCs w:val="32"/>
        </w:rPr>
        <w:t>H06、</w:t>
      </w:r>
      <w:r>
        <w:rPr>
          <w:rFonts w:ascii="Times New Roman" w:hAnsi="Times New Roman" w:eastAsia="仿宋_GB2312" w:cs="Times New Roman"/>
          <w:spacing w:val="0"/>
          <w:sz w:val="32"/>
          <w:szCs w:val="32"/>
        </w:rPr>
        <w:t>H</w:t>
      </w:r>
      <w:r>
        <w:rPr>
          <w:rFonts w:hint="eastAsia" w:ascii="Times New Roman" w:hAnsi="Times New Roman" w:eastAsia="仿宋_GB2312" w:cs="Times New Roman"/>
          <w:spacing w:val="0"/>
          <w:sz w:val="32"/>
          <w:szCs w:val="32"/>
        </w:rPr>
        <w:t>07、H18、H25</w:t>
      </w:r>
      <w:r>
        <w:rPr>
          <w:rFonts w:ascii="Times New Roman" w:hAnsi="Times New Roman" w:eastAsia="仿宋_GB2312" w:cs="Times New Roman"/>
          <w:spacing w:val="0"/>
          <w:sz w:val="32"/>
          <w:szCs w:val="32"/>
        </w:rPr>
        <w:t>的下属代码）</w:t>
      </w:r>
    </w:p>
    <w:p w14:paraId="7ED08550">
      <w:pPr>
        <w:keepNext w:val="0"/>
        <w:keepLines w:val="0"/>
        <w:pageBreakBefore w:val="0"/>
        <w:widowControl w:val="0"/>
        <w:kinsoku/>
        <w:wordWrap/>
        <w:overflowPunct/>
        <w:topLinePunct w:val="0"/>
        <w:bidi w:val="0"/>
        <w:snapToGrid/>
        <w:spacing w:before="0" w:line="600" w:lineRule="exact"/>
        <w:ind w:left="0" w:leftChars="0" w:firstLine="643" w:firstLineChars="200"/>
        <w:jc w:val="left"/>
        <w:textAlignment w:val="baseline"/>
        <w:rPr>
          <w:rFonts w:ascii="Times New Roman" w:hAnsi="Times New Roman" w:eastAsia="仿宋_GB2312" w:cs="Times New Roman"/>
          <w:color w:val="FF0000"/>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spacing w:val="0"/>
          <w:sz w:val="32"/>
          <w:szCs w:val="32"/>
        </w:rPr>
        <w:t>聚焦创伤性脑损伤合并骨折、老年骨折后加速性骨丢失及骨质疏松等临床难题，采用临床队列与实验室研究相结合的研究策略，围绕“肠</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骨轴”、“脑</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骨轴”等多器官交互</w:t>
      </w:r>
      <w:r>
        <w:rPr>
          <w:rFonts w:hint="eastAsia" w:ascii="Times New Roman" w:hAnsi="Times New Roman" w:eastAsia="仿宋_GB2312" w:cs="Times New Roman"/>
          <w:spacing w:val="0"/>
          <w:sz w:val="32"/>
          <w:szCs w:val="32"/>
        </w:rPr>
        <w:t>作用</w:t>
      </w:r>
      <w:r>
        <w:rPr>
          <w:rFonts w:ascii="Times New Roman" w:hAnsi="Times New Roman" w:eastAsia="仿宋_GB2312" w:cs="Times New Roman"/>
          <w:spacing w:val="0"/>
          <w:sz w:val="32"/>
          <w:szCs w:val="32"/>
        </w:rPr>
        <w:t>，系统阐明骨折后骨愈合的关键调控机制，探讨运动干预对骨稳态影响的分子基础</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解析骨微循环障碍与骨基质稳态失衡的相互关系，开展骨代谢异常的精准预警研究，构建能促进骨折愈合、减少骨质疏松风险的综合干预策略，为临床骨修复障碍提供新的诊疗思路。</w:t>
      </w:r>
    </w:p>
    <w:p w14:paraId="50D03BA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形成靶向驱动骨丢失的干预新策略1种；形成加速骨折愈合精准治疗策略1个；制定骨质疏松干预技术规范或应用示范1项；研制基于囊泡的递送系统1套</w:t>
      </w:r>
      <w:r>
        <w:rPr>
          <w:rFonts w:ascii="Times New Roman" w:hAnsi="Times New Roman" w:eastAsia="仿宋_GB2312" w:cs="Times New Roman"/>
          <w:spacing w:val="0"/>
          <w:sz w:val="32"/>
          <w:szCs w:val="32"/>
        </w:rPr>
        <w:t>。</w:t>
      </w:r>
    </w:p>
    <w:p w14:paraId="371B437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17</w:t>
      </w:r>
      <w:r>
        <w:rPr>
          <w:rFonts w:ascii="Times New Roman" w:hAnsi="Times New Roman" w:eastAsia="仿宋_GB2312" w:cs="Times New Roman"/>
          <w:b/>
          <w:bCs/>
          <w:spacing w:val="0"/>
          <w:sz w:val="32"/>
          <w:szCs w:val="32"/>
        </w:rPr>
        <w:t>.植物源性外囊泡跨器官靶向调控骨质疏松症的机制与</w:t>
      </w:r>
      <w:r>
        <w:rPr>
          <w:rFonts w:hint="eastAsia" w:ascii="Times New Roman" w:hAnsi="Times New Roman" w:eastAsia="仿宋_GB2312" w:cs="Times New Roman"/>
          <w:b/>
          <w:bCs/>
          <w:spacing w:val="0"/>
          <w:sz w:val="32"/>
          <w:szCs w:val="32"/>
        </w:rPr>
        <w:t>精准</w:t>
      </w:r>
      <w:r>
        <w:rPr>
          <w:rFonts w:ascii="Times New Roman" w:hAnsi="Times New Roman" w:eastAsia="仿宋_GB2312" w:cs="Times New Roman"/>
          <w:b/>
          <w:bCs/>
          <w:spacing w:val="0"/>
          <w:sz w:val="32"/>
          <w:szCs w:val="32"/>
        </w:rPr>
        <w:t>干预</w:t>
      </w:r>
      <w:r>
        <w:rPr>
          <w:rFonts w:hint="eastAsia" w:ascii="Times New Roman" w:hAnsi="Times New Roman" w:eastAsia="仿宋_GB2312" w:cs="Times New Roman"/>
          <w:b/>
          <w:bCs/>
          <w:spacing w:val="0"/>
          <w:sz w:val="32"/>
          <w:szCs w:val="32"/>
        </w:rPr>
        <w:t>策略</w:t>
      </w:r>
      <w:r>
        <w:rPr>
          <w:rFonts w:ascii="Times New Roman" w:hAnsi="Times New Roman" w:eastAsia="仿宋_GB2312" w:cs="Times New Roman"/>
          <w:b/>
          <w:bCs/>
          <w:spacing w:val="0"/>
          <w:sz w:val="32"/>
          <w:szCs w:val="32"/>
        </w:rPr>
        <w:t>研究</w:t>
      </w:r>
      <w:r>
        <w:rPr>
          <w:rFonts w:ascii="Times New Roman" w:hAnsi="Times New Roman" w:eastAsia="仿宋_GB2312" w:cs="Times New Roman"/>
          <w:spacing w:val="0"/>
          <w:sz w:val="32"/>
          <w:szCs w:val="32"/>
        </w:rPr>
        <w:t>（申报学科代码1选择H</w:t>
      </w:r>
      <w:r>
        <w:rPr>
          <w:rFonts w:hint="eastAsia" w:ascii="Times New Roman" w:hAnsi="Times New Roman" w:eastAsia="仿宋_GB2312" w:cs="Times New Roman"/>
          <w:spacing w:val="0"/>
          <w:sz w:val="32"/>
          <w:szCs w:val="32"/>
        </w:rPr>
        <w:t>29</w:t>
      </w:r>
      <w:r>
        <w:rPr>
          <w:rFonts w:ascii="Times New Roman" w:hAnsi="Times New Roman" w:eastAsia="仿宋_GB2312" w:cs="Times New Roman"/>
          <w:spacing w:val="0"/>
          <w:sz w:val="32"/>
          <w:szCs w:val="32"/>
        </w:rPr>
        <w:t>的下属代码）</w:t>
      </w:r>
    </w:p>
    <w:p w14:paraId="593131D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研究内容：</w:t>
      </w:r>
      <w:r>
        <w:rPr>
          <w:rFonts w:ascii="Times New Roman" w:hAnsi="Times New Roman" w:eastAsia="仿宋_GB2312" w:cs="Times New Roman"/>
          <w:spacing w:val="0"/>
          <w:sz w:val="32"/>
          <w:szCs w:val="32"/>
        </w:rPr>
        <w:t>聚焦骨质疏松症的病理机制及临床干预手段，采用</w:t>
      </w:r>
      <w:r>
        <w:rPr>
          <w:rFonts w:hint="eastAsia" w:ascii="Times New Roman" w:hAnsi="Times New Roman" w:eastAsia="仿宋_GB2312" w:cs="Times New Roman"/>
          <w:spacing w:val="0"/>
          <w:sz w:val="32"/>
          <w:szCs w:val="32"/>
        </w:rPr>
        <w:t>临床与基础研究相结合的策略，探索</w:t>
      </w:r>
      <w:r>
        <w:rPr>
          <w:rFonts w:ascii="Times New Roman" w:hAnsi="Times New Roman" w:eastAsia="仿宋_GB2312" w:cs="Times New Roman"/>
          <w:spacing w:val="0"/>
          <w:sz w:val="32"/>
          <w:szCs w:val="32"/>
        </w:rPr>
        <w:t>能量代谢紊乱</w:t>
      </w:r>
      <w:r>
        <w:rPr>
          <w:rFonts w:hint="eastAsia" w:ascii="Times New Roman" w:hAnsi="Times New Roman" w:eastAsia="仿宋_GB2312" w:cs="Times New Roman"/>
          <w:spacing w:val="0"/>
          <w:sz w:val="32"/>
          <w:szCs w:val="32"/>
        </w:rPr>
        <w:t>、骨形成与骨吸收失衡</w:t>
      </w:r>
      <w:r>
        <w:rPr>
          <w:rFonts w:ascii="Times New Roman" w:hAnsi="Times New Roman" w:eastAsia="仿宋_GB2312" w:cs="Times New Roman"/>
          <w:spacing w:val="0"/>
          <w:sz w:val="32"/>
          <w:szCs w:val="32"/>
        </w:rPr>
        <w:t>在骨质疏松症中的</w:t>
      </w:r>
      <w:r>
        <w:rPr>
          <w:rFonts w:hint="eastAsia" w:ascii="Times New Roman" w:hAnsi="Times New Roman" w:eastAsia="仿宋_GB2312" w:cs="Times New Roman"/>
          <w:spacing w:val="0"/>
          <w:sz w:val="32"/>
          <w:szCs w:val="32"/>
        </w:rPr>
        <w:t>作用；</w:t>
      </w:r>
      <w:r>
        <w:rPr>
          <w:rFonts w:ascii="Times New Roman" w:hAnsi="Times New Roman" w:eastAsia="仿宋_GB2312" w:cs="Times New Roman"/>
          <w:spacing w:val="0"/>
          <w:sz w:val="32"/>
          <w:szCs w:val="32"/>
        </w:rPr>
        <w:t>建立标准化骨质疏松症动物模型及骨代谢细胞模型，深入解析植物源性外囊泡通过调控成骨细胞与破骨细胞能量代谢在治疗骨质疏松症中的作用</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运用质谱技术与多组学联合分析策略，整合生物信息学与系统药理学筛选技术，解析植物源性外囊泡的活性成分谱</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寻找新的关键靶点，为骨质疏松症的治疗提供理论依据和</w:t>
      </w:r>
      <w:r>
        <w:rPr>
          <w:rFonts w:hint="eastAsia" w:ascii="Times New Roman" w:hAnsi="Times New Roman" w:eastAsia="仿宋_GB2312" w:cs="Times New Roman"/>
          <w:spacing w:val="0"/>
          <w:sz w:val="32"/>
          <w:szCs w:val="32"/>
        </w:rPr>
        <w:t>新策略</w:t>
      </w:r>
      <w:r>
        <w:rPr>
          <w:rFonts w:ascii="Times New Roman" w:hAnsi="Times New Roman" w:eastAsia="仿宋_GB2312" w:cs="Times New Roman"/>
          <w:spacing w:val="0"/>
          <w:sz w:val="32"/>
          <w:szCs w:val="32"/>
        </w:rPr>
        <w:t>。</w:t>
      </w:r>
    </w:p>
    <w:p w14:paraId="327EF24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绘制植物</w:t>
      </w:r>
      <w:r>
        <w:rPr>
          <w:rFonts w:ascii="Times New Roman" w:hAnsi="Times New Roman" w:eastAsia="仿宋_GB2312" w:cs="Times New Roman"/>
          <w:spacing w:val="0"/>
          <w:sz w:val="32"/>
          <w:szCs w:val="32"/>
        </w:rPr>
        <w:t>源性外囊泡活性成分谱1</w:t>
      </w:r>
      <w:r>
        <w:rPr>
          <w:rFonts w:hint="eastAsia" w:ascii="Times New Roman" w:hAnsi="Times New Roman" w:eastAsia="仿宋_GB2312" w:cs="Times New Roman"/>
          <w:spacing w:val="0"/>
          <w:sz w:val="32"/>
          <w:szCs w:val="32"/>
        </w:rPr>
        <w:t>套，发现新靶标1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rPr>
        <w:t>筛选并鉴定</w:t>
      </w:r>
      <w:r>
        <w:rPr>
          <w:rFonts w:ascii="Times New Roman" w:hAnsi="Times New Roman" w:eastAsia="仿宋_GB2312" w:cs="Times New Roman"/>
          <w:spacing w:val="0"/>
          <w:sz w:val="32"/>
          <w:szCs w:val="32"/>
        </w:rPr>
        <w:t>具有临床转化潜力的</w:t>
      </w:r>
      <w:r>
        <w:rPr>
          <w:rFonts w:hint="eastAsia" w:ascii="Times New Roman" w:hAnsi="Times New Roman" w:eastAsia="仿宋_GB2312" w:cs="Times New Roman"/>
          <w:spacing w:val="0"/>
          <w:sz w:val="32"/>
          <w:szCs w:val="32"/>
        </w:rPr>
        <w:t>活性</w:t>
      </w:r>
      <w:r>
        <w:rPr>
          <w:rFonts w:ascii="Times New Roman" w:hAnsi="Times New Roman" w:eastAsia="仿宋_GB2312" w:cs="Times New Roman"/>
          <w:spacing w:val="0"/>
          <w:sz w:val="32"/>
          <w:szCs w:val="32"/>
        </w:rPr>
        <w:t>成分1</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2种。</w:t>
      </w:r>
    </w:p>
    <w:p w14:paraId="7D09B9A4">
      <w:pPr>
        <w:keepNext w:val="0"/>
        <w:keepLines w:val="0"/>
        <w:pageBreakBefore w:val="0"/>
        <w:widowControl w:val="0"/>
        <w:kinsoku/>
        <w:wordWrap/>
        <w:overflowPunct/>
        <w:topLinePunct w:val="0"/>
        <w:bidi w:val="0"/>
        <w:snapToGrid/>
        <w:spacing w:line="600" w:lineRule="exact"/>
        <w:ind w:firstLine="643" w:firstLineChars="200"/>
        <w:rPr>
          <w:rFonts w:hint="eastAsia"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18.间充质干细胞与PRF凝胶复合体的构建和多模态影像技术在关节软骨再生修复中的应用策略</w:t>
      </w:r>
      <w:r>
        <w:rPr>
          <w:rFonts w:hint="eastAsia" w:ascii="Times New Roman" w:hAnsi="Times New Roman" w:eastAsia="仿宋_GB2312" w:cs="Times New Roman"/>
          <w:spacing w:val="0"/>
          <w:sz w:val="32"/>
          <w:szCs w:val="32"/>
        </w:rPr>
        <w:t>（申请代码选择H06的下属代码）</w:t>
      </w:r>
    </w:p>
    <w:p w14:paraId="3A1A757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针对膝骨关节炎人群基数大，致残率高，社会负担重等痛点，聚焦关节软骨的再生修复策略，模</w:t>
      </w:r>
      <w:r>
        <w:rPr>
          <w:rFonts w:hint="eastAsia" w:ascii="Times New Roman" w:hAnsi="Times New Roman" w:eastAsia="仿宋_GB2312" w:cs="Times New Roman"/>
          <w:spacing w:val="0"/>
          <w:sz w:val="32"/>
          <w:szCs w:val="32"/>
          <w:lang w:eastAsia="zh-CN"/>
        </w:rPr>
        <w:t>拟</w:t>
      </w:r>
      <w:r>
        <w:rPr>
          <w:rFonts w:hint="eastAsia" w:ascii="Times New Roman" w:hAnsi="Times New Roman" w:eastAsia="仿宋_GB2312" w:cs="Times New Roman"/>
          <w:spacing w:val="0"/>
          <w:sz w:val="32"/>
          <w:szCs w:val="32"/>
        </w:rPr>
        <w:t xml:space="preserve">间充质干细胞（MSCs）向成软骨和成骨分化的体内微环境并进行一体化修复软骨和软骨下骨；探索三维MSCs/PRF凝胶复合体的构建及其在机器人辅助下的精准给药策略，探明MSCs与PRF凝胶复合体对关节软骨和软骨下骨的再生修复作用，通过多模态影像进行示踪，评价干预效果。 </w:t>
      </w:r>
    </w:p>
    <w:p w14:paraId="0B9DEC5D">
      <w:pPr>
        <w:keepNext w:val="0"/>
        <w:keepLines w:val="0"/>
        <w:pageBreakBefore w:val="0"/>
        <w:widowControl w:val="0"/>
        <w:kinsoku/>
        <w:wordWrap/>
        <w:overflowPunct/>
        <w:topLinePunct w:val="0"/>
        <w:autoSpaceDE/>
        <w:autoSpaceDN/>
        <w:bidi w:val="0"/>
        <w:adjustRightInd w:val="0"/>
        <w:snapToGrid/>
        <w:spacing w:before="0" w:line="600" w:lineRule="exact"/>
        <w:ind w:left="0" w:firstLine="627" w:firstLineChars="200"/>
        <w:jc w:val="left"/>
        <w:rPr>
          <w:rFonts w:hint="default" w:ascii="Times New Roman" w:hAnsi="Times New Roman" w:eastAsia="等线" w:cs="Times New Roman"/>
          <w:kern w:val="0"/>
          <w:sz w:val="21"/>
          <w:szCs w:val="32"/>
          <w:lang w:val="en-US" w:eastAsia="zh-CN" w:bidi="ar-SA"/>
        </w:rPr>
      </w:pPr>
      <w:r>
        <w:rPr>
          <w:rFonts w:hint="eastAsia" w:ascii="Times New Roman" w:hAnsi="Times New Roman" w:eastAsia="仿宋_GB2312" w:cs="Times New Roman"/>
          <w:b/>
          <w:bCs/>
          <w:kern w:val="0"/>
          <w:sz w:val="32"/>
          <w:szCs w:val="32"/>
          <w:lang w:val="en-US" w:eastAsia="zh-CN" w:bidi="ar-SA"/>
        </w:rPr>
        <w:t>研究目标：</w:t>
      </w:r>
      <w:r>
        <w:rPr>
          <w:rFonts w:hint="eastAsia" w:ascii="Times New Roman" w:hAnsi="Times New Roman" w:eastAsia="仿宋_GB2312" w:cs="Times New Roman"/>
          <w:kern w:val="0"/>
          <w:sz w:val="32"/>
          <w:szCs w:val="32"/>
          <w:lang w:val="en-US" w:eastAsia="zh-CN" w:bidi="ar-SA"/>
        </w:rPr>
        <w:t>研发MSCs/PRF凝胶三维复合体新技术1个；形成机器人辅助精准给药策略1种；</w:t>
      </w:r>
      <w:r>
        <w:rPr>
          <w:rFonts w:hint="default" w:ascii="Times New Roman" w:hAnsi="Times New Roman" w:eastAsia="仿宋_GB2312" w:cs="Times New Roman"/>
          <w:kern w:val="0"/>
          <w:sz w:val="32"/>
          <w:szCs w:val="32"/>
          <w:lang w:val="en-US" w:eastAsia="zh-CN" w:bidi="ar-SA"/>
        </w:rPr>
        <w:t>建立多模态影像示踪监测与评价体系1套。</w:t>
      </w:r>
    </w:p>
    <w:p w14:paraId="5A2F42DD">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1</w:t>
      </w:r>
      <w:r>
        <w:rPr>
          <w:rFonts w:hint="eastAsia" w:ascii="Times New Roman" w:hAnsi="Times New Roman" w:eastAsia="仿宋_GB2312" w:cs="Times New Roman"/>
          <w:b/>
          <w:bCs/>
          <w:spacing w:val="0"/>
          <w:sz w:val="32"/>
          <w:szCs w:val="32"/>
        </w:rPr>
        <w:t>9</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多策略协同的肿瘤免疫治疗方案</w:t>
      </w:r>
      <w:r>
        <w:rPr>
          <w:rFonts w:ascii="Times New Roman" w:hAnsi="Times New Roman" w:eastAsia="仿宋_GB2312" w:cs="Times New Roman"/>
          <w:bCs/>
          <w:spacing w:val="0"/>
          <w:sz w:val="32"/>
          <w:szCs w:val="32"/>
        </w:rPr>
        <w:t>（申报代码1选择</w:t>
      </w:r>
      <w:r>
        <w:rPr>
          <w:rFonts w:hint="eastAsia" w:ascii="Times New Roman" w:hAnsi="Times New Roman" w:eastAsia="仿宋_GB2312" w:cs="Times New Roman"/>
          <w:bCs/>
          <w:spacing w:val="0"/>
          <w:sz w:val="32"/>
          <w:szCs w:val="32"/>
        </w:rPr>
        <w:t>H</w:t>
      </w:r>
      <w:r>
        <w:rPr>
          <w:rFonts w:ascii="Times New Roman" w:hAnsi="Times New Roman" w:eastAsia="仿宋_GB2312" w:cs="Times New Roman"/>
          <w:bCs/>
          <w:spacing w:val="0"/>
          <w:sz w:val="32"/>
          <w:szCs w:val="32"/>
        </w:rPr>
        <w:t>08</w:t>
      </w:r>
      <w:r>
        <w:rPr>
          <w:rFonts w:hint="eastAsia" w:ascii="Times New Roman" w:hAnsi="Times New Roman" w:eastAsia="仿宋_GB2312" w:cs="Times New Roman"/>
          <w:bCs/>
          <w:spacing w:val="0"/>
          <w:sz w:val="32"/>
          <w:szCs w:val="32"/>
        </w:rPr>
        <w:t>、H</w:t>
      </w:r>
      <w:r>
        <w:rPr>
          <w:rFonts w:ascii="Times New Roman" w:hAnsi="Times New Roman" w:eastAsia="仿宋_GB2312" w:cs="Times New Roman"/>
          <w:bCs/>
          <w:spacing w:val="0"/>
          <w:sz w:val="32"/>
          <w:szCs w:val="32"/>
        </w:rPr>
        <w:t>16</w:t>
      </w:r>
      <w:r>
        <w:rPr>
          <w:rFonts w:hint="eastAsia" w:ascii="Times New Roman" w:hAnsi="Times New Roman" w:eastAsia="仿宋_GB2312" w:cs="Times New Roman"/>
          <w:bCs/>
          <w:spacing w:val="0"/>
          <w:sz w:val="32"/>
          <w:szCs w:val="32"/>
        </w:rPr>
        <w:t>、</w:t>
      </w:r>
      <w:r>
        <w:rPr>
          <w:rFonts w:ascii="Times New Roman" w:hAnsi="Times New Roman" w:eastAsia="仿宋_GB2312" w:cs="Times New Roman"/>
          <w:bCs/>
          <w:spacing w:val="0"/>
          <w:sz w:val="32"/>
          <w:szCs w:val="32"/>
        </w:rPr>
        <w:t>H30的下属代码）</w:t>
      </w:r>
    </w:p>
    <w:p w14:paraId="4F96631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针对肿瘤免疫治疗整体响应率低及RNA药物递送效率受限等关键问题，聚焦肿瘤微环境，构建具有超敏感pH响应的智能聚合物纳米递送平台，实现RNA的高效递送与先天免疫通路的协同激活；系统研究分子探针、纳米载体结构特征与RNA递送效率及免疫激活效能之间的构效关系，揭示递送系统在肿瘤免疫微环境重塑与免疫应答中的作用机制，</w:t>
      </w:r>
      <w:r>
        <w:rPr>
          <w:rFonts w:ascii="Times New Roman" w:hAnsi="Times New Roman" w:eastAsia="仿宋_GB2312" w:cs="Times New Roman"/>
          <w:spacing w:val="0"/>
          <w:sz w:val="32"/>
          <w:szCs w:val="32"/>
        </w:rPr>
        <w:t>为发展多策略协同的肿瘤免疫治疗新方案</w:t>
      </w:r>
      <w:r>
        <w:rPr>
          <w:rFonts w:hint="eastAsia" w:ascii="Times New Roman" w:hAnsi="Times New Roman" w:eastAsia="仿宋_GB2312" w:cs="Times New Roman"/>
          <w:spacing w:val="0"/>
          <w:sz w:val="32"/>
          <w:szCs w:val="32"/>
        </w:rPr>
        <w:t>提供理论与技术支撑。</w:t>
      </w:r>
    </w:p>
    <w:p w14:paraId="4FED001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构建并优选微环境响应型RNA纳米载体1种；研发针对实体瘤具有良好疗效的纳米疫苗1种；研制非应激依赖的免疫干预候选药物1个；研制靶向肿瘤微环境的高效纳米递送系统1种。</w:t>
      </w:r>
    </w:p>
    <w:p w14:paraId="64A3345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color w:val="FF0000"/>
          <w:spacing w:val="0"/>
          <w:sz w:val="32"/>
          <w:szCs w:val="32"/>
        </w:rPr>
      </w:pPr>
      <w:r>
        <w:rPr>
          <w:rFonts w:hint="eastAsia" w:ascii="Times New Roman" w:hAnsi="Times New Roman" w:eastAsia="仿宋_GB2312" w:cs="Times New Roman"/>
          <w:b/>
          <w:spacing w:val="0"/>
          <w:sz w:val="32"/>
          <w:szCs w:val="32"/>
        </w:rPr>
        <w:t>20</w:t>
      </w:r>
      <w:r>
        <w:rPr>
          <w:rFonts w:ascii="Times New Roman" w:hAnsi="Times New Roman" w:eastAsia="仿宋_GB2312" w:cs="Times New Roman"/>
          <w:b/>
          <w:spacing w:val="0"/>
          <w:sz w:val="32"/>
          <w:szCs w:val="32"/>
        </w:rPr>
        <w:t>.</w:t>
      </w:r>
      <w:r>
        <w:rPr>
          <w:rFonts w:hint="default" w:ascii="Times New Roman" w:hAnsi="Times New Roman" w:eastAsia="等线" w:cs="Times New Roman"/>
          <w:b/>
          <w:spacing w:val="0"/>
          <w:sz w:val="21"/>
          <w:szCs w:val="22"/>
        </w:rPr>
        <w:t xml:space="preserve"> </w:t>
      </w:r>
      <w:r>
        <w:rPr>
          <w:rFonts w:hint="eastAsia" w:ascii="Times New Roman" w:hAnsi="Times New Roman" w:eastAsia="仿宋_GB2312" w:cs="Times New Roman"/>
          <w:b/>
          <w:spacing w:val="0"/>
          <w:sz w:val="32"/>
          <w:szCs w:val="32"/>
        </w:rPr>
        <w:t>血液系统肿瘤及并发症的精准防治</w:t>
      </w:r>
      <w:r>
        <w:rPr>
          <w:rFonts w:ascii="Times New Roman" w:hAnsi="Times New Roman" w:eastAsia="仿宋_GB2312" w:cs="Times New Roman"/>
          <w:spacing w:val="0"/>
          <w:sz w:val="32"/>
          <w:szCs w:val="32"/>
        </w:rPr>
        <w:t>（申报学科代码1选择</w:t>
      </w:r>
      <w:r>
        <w:rPr>
          <w:rFonts w:hint="eastAsia" w:ascii="Times New Roman" w:hAnsi="Times New Roman" w:eastAsia="仿宋_GB2312" w:cs="Times New Roman"/>
          <w:bCs/>
          <w:spacing w:val="0"/>
          <w:sz w:val="32"/>
          <w:szCs w:val="32"/>
        </w:rPr>
        <w:t>H08</w:t>
      </w:r>
      <w:r>
        <w:rPr>
          <w:rFonts w:ascii="Times New Roman" w:hAnsi="Times New Roman" w:eastAsia="仿宋_GB2312" w:cs="Times New Roman"/>
          <w:spacing w:val="0"/>
          <w:sz w:val="32"/>
          <w:szCs w:val="32"/>
        </w:rPr>
        <w:t>的下属代码）</w:t>
      </w:r>
    </w:p>
    <w:p w14:paraId="6DD4605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color w:val="000000"/>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color w:val="000000"/>
          <w:spacing w:val="0"/>
          <w:sz w:val="32"/>
          <w:szCs w:val="32"/>
        </w:rPr>
        <w:t>针对骨髓增殖性肿瘤患者血栓高发的临床难题，整合</w:t>
      </w:r>
      <w:r>
        <w:rPr>
          <w:rFonts w:ascii="Times New Roman" w:hAnsi="Times New Roman" w:eastAsia="仿宋_GB2312" w:cs="Times New Roman"/>
          <w:bCs/>
          <w:color w:val="000000"/>
          <w:spacing w:val="0"/>
          <w:sz w:val="32"/>
          <w:szCs w:val="32"/>
        </w:rPr>
        <w:t>临床标本分析与动物模型</w:t>
      </w:r>
      <w:r>
        <w:rPr>
          <w:rFonts w:ascii="Times New Roman" w:hAnsi="Times New Roman" w:eastAsia="仿宋_GB2312" w:cs="Times New Roman"/>
          <w:color w:val="000000"/>
          <w:spacing w:val="0"/>
          <w:sz w:val="32"/>
          <w:szCs w:val="32"/>
        </w:rPr>
        <w:t>，运用</w:t>
      </w:r>
      <w:r>
        <w:rPr>
          <w:rFonts w:ascii="Times New Roman" w:hAnsi="Times New Roman" w:eastAsia="仿宋_GB2312" w:cs="Times New Roman"/>
          <w:bCs/>
          <w:color w:val="000000"/>
          <w:spacing w:val="0"/>
          <w:sz w:val="32"/>
          <w:szCs w:val="32"/>
        </w:rPr>
        <w:t>多组学、流式细胞术及凝血功能分析</w:t>
      </w:r>
      <w:r>
        <w:rPr>
          <w:rFonts w:ascii="Times New Roman" w:hAnsi="Times New Roman" w:eastAsia="仿宋_GB2312" w:cs="Times New Roman"/>
          <w:color w:val="000000"/>
          <w:spacing w:val="0"/>
          <w:sz w:val="32"/>
          <w:szCs w:val="32"/>
        </w:rPr>
        <w:t>等多种技术，系统揭示调控</w:t>
      </w:r>
      <w:r>
        <w:rPr>
          <w:rFonts w:ascii="Times New Roman" w:hAnsi="Times New Roman" w:eastAsia="仿宋_GB2312" w:cs="Times New Roman"/>
          <w:bCs/>
          <w:color w:val="000000"/>
          <w:spacing w:val="0"/>
          <w:sz w:val="32"/>
          <w:szCs w:val="32"/>
        </w:rPr>
        <w:t>血小板异常活化、内皮功能障碍及凝血系统紊乱</w:t>
      </w:r>
      <w:r>
        <w:rPr>
          <w:rFonts w:ascii="Times New Roman" w:hAnsi="Times New Roman" w:eastAsia="仿宋_GB2312" w:cs="Times New Roman"/>
          <w:color w:val="000000"/>
          <w:spacing w:val="0"/>
          <w:sz w:val="32"/>
          <w:szCs w:val="32"/>
        </w:rPr>
        <w:t>的关键分子靶点</w:t>
      </w:r>
      <w:r>
        <w:rPr>
          <w:rFonts w:hint="eastAsia" w:ascii="Times New Roman" w:hAnsi="Times New Roman" w:eastAsia="仿宋_GB2312" w:cs="Times New Roman"/>
          <w:color w:val="000000"/>
          <w:spacing w:val="0"/>
          <w:sz w:val="32"/>
          <w:szCs w:val="32"/>
        </w:rPr>
        <w:t>，</w:t>
      </w:r>
      <w:r>
        <w:rPr>
          <w:rFonts w:ascii="Times New Roman" w:hAnsi="Times New Roman" w:eastAsia="仿宋_GB2312" w:cs="Times New Roman"/>
          <w:bCs/>
          <w:color w:val="000000"/>
          <w:spacing w:val="0"/>
          <w:sz w:val="32"/>
          <w:szCs w:val="32"/>
        </w:rPr>
        <w:t>研发可精确靶向白血病细胞的纳米载药系统</w:t>
      </w:r>
      <w:r>
        <w:rPr>
          <w:rFonts w:ascii="Times New Roman" w:hAnsi="Times New Roman" w:eastAsia="仿宋_GB2312" w:cs="Times New Roman"/>
          <w:color w:val="000000"/>
          <w:spacing w:val="0"/>
          <w:sz w:val="32"/>
          <w:szCs w:val="32"/>
        </w:rPr>
        <w:t>，以期突破髓外白血病的治疗瓶颈，为患者提供更安全有效的干预方案。</w:t>
      </w:r>
    </w:p>
    <w:p w14:paraId="3EE67D2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val="0"/>
          <w:color w:val="000000"/>
          <w:spacing w:val="0"/>
          <w:sz w:val="32"/>
          <w:szCs w:val="32"/>
        </w:rPr>
        <w:t>研究目标：</w:t>
      </w:r>
      <w:r>
        <w:rPr>
          <w:rFonts w:hint="eastAsia" w:ascii="Times New Roman" w:hAnsi="Times New Roman" w:eastAsia="仿宋_GB2312" w:cs="Times New Roman"/>
          <w:color w:val="000000"/>
          <w:spacing w:val="0"/>
          <w:sz w:val="32"/>
          <w:szCs w:val="32"/>
        </w:rPr>
        <w:t>筛选用于临床风险分层的生物标志物1</w:t>
      </w:r>
      <w:r>
        <w:rPr>
          <w:rFonts w:hint="eastAsia" w:ascii="Times New Roman" w:hAnsi="Times New Roman" w:eastAsia="仿宋_GB2312" w:cs="Times New Roman"/>
          <w:color w:val="000000"/>
          <w:spacing w:val="0"/>
          <w:sz w:val="32"/>
          <w:szCs w:val="32"/>
          <w:lang w:eastAsia="zh-CN"/>
        </w:rPr>
        <w:t>—</w:t>
      </w:r>
      <w:r>
        <w:rPr>
          <w:rFonts w:hint="eastAsia" w:ascii="Times New Roman" w:hAnsi="Times New Roman" w:eastAsia="仿宋_GB2312" w:cs="Times New Roman"/>
          <w:color w:val="000000"/>
          <w:spacing w:val="0"/>
          <w:sz w:val="32"/>
          <w:szCs w:val="32"/>
        </w:rPr>
        <w:t>2个；发现药物干预新靶标1</w:t>
      </w:r>
      <w:r>
        <w:rPr>
          <w:rFonts w:hint="eastAsia" w:ascii="Times New Roman" w:hAnsi="Times New Roman" w:eastAsia="仿宋_GB2312" w:cs="Times New Roman"/>
          <w:color w:val="000000"/>
          <w:spacing w:val="0"/>
          <w:sz w:val="32"/>
          <w:szCs w:val="32"/>
          <w:lang w:eastAsia="zh-CN"/>
        </w:rPr>
        <w:t>—</w:t>
      </w:r>
      <w:r>
        <w:rPr>
          <w:rFonts w:ascii="Times New Roman" w:hAnsi="Times New Roman" w:eastAsia="仿宋_GB2312" w:cs="Times New Roman"/>
          <w:color w:val="000000"/>
          <w:spacing w:val="0"/>
          <w:sz w:val="32"/>
          <w:szCs w:val="32"/>
        </w:rPr>
        <w:t>2</w:t>
      </w:r>
      <w:r>
        <w:rPr>
          <w:rFonts w:hint="eastAsia" w:ascii="Times New Roman" w:hAnsi="Times New Roman" w:eastAsia="仿宋_GB2312" w:cs="Times New Roman"/>
          <w:color w:val="000000"/>
          <w:spacing w:val="0"/>
          <w:sz w:val="32"/>
          <w:szCs w:val="32"/>
        </w:rPr>
        <w:t>个；</w:t>
      </w:r>
      <w:r>
        <w:rPr>
          <w:rFonts w:hint="eastAsia" w:ascii="Times New Roman" w:hAnsi="Times New Roman" w:eastAsia="仿宋_GB2312" w:cs="Times New Roman"/>
          <w:spacing w:val="0"/>
          <w:sz w:val="32"/>
          <w:szCs w:val="32"/>
        </w:rPr>
        <w:t>研制靶向白血病细胞的高效纳米递送系统1种</w:t>
      </w:r>
      <w:r>
        <w:rPr>
          <w:rFonts w:hint="eastAsia" w:ascii="Times New Roman" w:hAnsi="Times New Roman" w:eastAsia="仿宋_GB2312" w:cs="Times New Roman"/>
          <w:color w:val="000000"/>
          <w:spacing w:val="0"/>
          <w:sz w:val="32"/>
          <w:szCs w:val="32"/>
        </w:rPr>
        <w:t>。</w:t>
      </w:r>
    </w:p>
    <w:p w14:paraId="1FFFE47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21</w:t>
      </w:r>
      <w:r>
        <w:rPr>
          <w:rFonts w:ascii="Times New Roman" w:hAnsi="Times New Roman" w:eastAsia="仿宋_GB2312" w:cs="Times New Roman"/>
          <w:b/>
          <w:bCs/>
          <w:spacing w:val="0"/>
          <w:sz w:val="32"/>
          <w:szCs w:val="32"/>
        </w:rPr>
        <w:t>.</w:t>
      </w:r>
      <w:r>
        <w:rPr>
          <w:rFonts w:hint="default" w:ascii="Times New Roman" w:hAnsi="Times New Roman" w:eastAsia="等线" w:cs="Times New Roman"/>
          <w:spacing w:val="0"/>
          <w:sz w:val="21"/>
          <w:szCs w:val="22"/>
        </w:rPr>
        <w:t xml:space="preserve"> </w:t>
      </w:r>
      <w:r>
        <w:rPr>
          <w:rFonts w:hint="eastAsia" w:ascii="Times New Roman" w:hAnsi="Times New Roman" w:eastAsia="仿宋_GB2312" w:cs="Times New Roman"/>
          <w:b/>
          <w:bCs/>
          <w:spacing w:val="0"/>
          <w:sz w:val="32"/>
          <w:szCs w:val="32"/>
        </w:rPr>
        <w:t>神经疾病的治疗新策略</w:t>
      </w:r>
      <w:r>
        <w:rPr>
          <w:rFonts w:ascii="Times New Roman" w:hAnsi="Times New Roman" w:eastAsia="仿宋_GB2312" w:cs="Times New Roman"/>
          <w:spacing w:val="0"/>
          <w:sz w:val="32"/>
          <w:szCs w:val="32"/>
        </w:rPr>
        <w:t>（申报学科代码1选择H</w:t>
      </w:r>
      <w:r>
        <w:rPr>
          <w:rFonts w:hint="eastAsia" w:ascii="Times New Roman" w:hAnsi="Times New Roman" w:eastAsia="仿宋_GB2312" w:cs="Times New Roman"/>
          <w:spacing w:val="0"/>
          <w:sz w:val="32"/>
          <w:szCs w:val="32"/>
        </w:rPr>
        <w:t>09、H30、</w:t>
      </w:r>
      <w:r>
        <w:rPr>
          <w:rFonts w:ascii="Times New Roman" w:hAnsi="Times New Roman" w:eastAsia="仿宋_GB2312" w:cs="Times New Roman"/>
          <w:spacing w:val="0"/>
          <w:sz w:val="32"/>
          <w:szCs w:val="32"/>
        </w:rPr>
        <w:t>H</w:t>
      </w:r>
      <w:r>
        <w:rPr>
          <w:rFonts w:hint="eastAsia" w:ascii="Times New Roman" w:hAnsi="Times New Roman" w:eastAsia="仿宋_GB2312" w:cs="Times New Roman"/>
          <w:spacing w:val="0"/>
          <w:sz w:val="32"/>
          <w:szCs w:val="32"/>
        </w:rPr>
        <w:t>31</w:t>
      </w:r>
      <w:r>
        <w:rPr>
          <w:rFonts w:ascii="Times New Roman" w:hAnsi="Times New Roman" w:eastAsia="仿宋_GB2312" w:cs="Times New Roman"/>
          <w:spacing w:val="0"/>
          <w:sz w:val="32"/>
          <w:szCs w:val="32"/>
        </w:rPr>
        <w:t>的下属代码）</w:t>
      </w:r>
    </w:p>
    <w:p w14:paraId="18E08D8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color w:val="FF0000"/>
          <w:spacing w:val="0"/>
          <w:sz w:val="32"/>
          <w:szCs w:val="32"/>
        </w:rPr>
      </w:pPr>
      <w:r>
        <w:rPr>
          <w:rFonts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针对缺血性脑卒中、神经病理性疼痛、躯体感觉异常等临床治疗的困境，探索经皮穴位电刺激预处理等治疗作用，利用AI模型解析关键离子通道的作用，识别异常脑区，构建“基因</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通道</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表型”关联网络，分析动态调控网络与协同作用，开发治疗</w:t>
      </w:r>
      <w:r>
        <w:rPr>
          <w:rFonts w:hint="eastAsia" w:ascii="Times New Roman" w:hAnsi="Times New Roman" w:eastAsia="仿宋_GB2312" w:cs="Times New Roman"/>
          <w:bCs/>
          <w:spacing w:val="0"/>
          <w:sz w:val="32"/>
          <w:szCs w:val="32"/>
        </w:rPr>
        <w:t>先导化合物或候选药物，加速治疗新策略的临床转化。</w:t>
      </w:r>
    </w:p>
    <w:p w14:paraId="2B962666">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bCs/>
          <w:spacing w:val="0"/>
          <w:sz w:val="32"/>
          <w:szCs w:val="32"/>
        </w:rPr>
        <w:t>形成多靶点组合治疗方案1套；绘制神经调控图谱1个；研发对缺血性脑卒中患者具有脑保护作用的无创防治疗法1种；建立AI辅助多靶点药物筛选、优化与评价的标准化流程1套；研制具有自主知识产权的先导化合物或候选药物1</w:t>
      </w:r>
      <w:r>
        <w:rPr>
          <w:rFonts w:hint="eastAsia" w:ascii="Times New Roman" w:hAnsi="Times New Roman" w:eastAsia="仿宋_GB2312" w:cs="Times New Roman"/>
          <w:bCs/>
          <w:spacing w:val="0"/>
          <w:sz w:val="32"/>
          <w:szCs w:val="32"/>
          <w:lang w:eastAsia="zh-CN"/>
        </w:rPr>
        <w:t>—</w:t>
      </w:r>
      <w:r>
        <w:rPr>
          <w:rFonts w:hint="eastAsia" w:ascii="Times New Roman" w:hAnsi="Times New Roman" w:eastAsia="仿宋_GB2312" w:cs="Times New Roman"/>
          <w:bCs/>
          <w:spacing w:val="0"/>
          <w:sz w:val="32"/>
          <w:szCs w:val="32"/>
        </w:rPr>
        <w:t>2个，完成候选药物的成药性评价。</w:t>
      </w:r>
    </w:p>
    <w:p w14:paraId="47159561">
      <w:pPr>
        <w:keepNext w:val="0"/>
        <w:keepLines w:val="0"/>
        <w:pageBreakBefore w:val="0"/>
        <w:widowControl w:val="0"/>
        <w:kinsoku/>
        <w:wordWrap/>
        <w:overflowPunct/>
        <w:topLinePunct w:val="0"/>
        <w:bidi w:val="0"/>
        <w:snapToGrid/>
        <w:spacing w:line="600" w:lineRule="exact"/>
        <w:ind w:firstLine="803" w:firstLineChars="250"/>
        <w:rPr>
          <w:rFonts w:ascii="Times New Roman" w:hAnsi="Times New Roman" w:eastAsia="仿宋_GB2312" w:cs="Times New Roman"/>
          <w:spacing w:val="0"/>
          <w:sz w:val="32"/>
          <w:szCs w:val="32"/>
        </w:rPr>
      </w:pPr>
      <w:r>
        <w:rPr>
          <w:rFonts w:hint="eastAsia" w:ascii="Times New Roman" w:hAnsi="Times New Roman" w:eastAsia="仿宋_GB2312" w:cs="Times New Roman"/>
          <w:b/>
          <w:spacing w:val="0"/>
          <w:sz w:val="32"/>
          <w:szCs w:val="32"/>
        </w:rPr>
        <w:t>22</w:t>
      </w:r>
      <w:r>
        <w:rPr>
          <w:rFonts w:ascii="Times New Roman" w:hAnsi="Times New Roman" w:eastAsia="仿宋_GB2312" w:cs="Times New Roman"/>
          <w:b/>
          <w:spacing w:val="0"/>
          <w:sz w:val="32"/>
          <w:szCs w:val="32"/>
        </w:rPr>
        <w:t>.</w:t>
      </w:r>
      <w:r>
        <w:rPr>
          <w:rFonts w:ascii="Times New Roman" w:hAnsi="Times New Roman" w:eastAsia="仿宋_GB2312" w:cs="Times New Roman"/>
          <w:b/>
          <w:bCs/>
          <w:spacing w:val="0"/>
          <w:sz w:val="32"/>
          <w:szCs w:val="32"/>
        </w:rPr>
        <w:t>神经精神疾病</w:t>
      </w:r>
      <w:r>
        <w:rPr>
          <w:rFonts w:hint="eastAsia" w:ascii="Times New Roman" w:hAnsi="Times New Roman" w:eastAsia="仿宋_GB2312" w:cs="Times New Roman"/>
          <w:b/>
          <w:bCs/>
          <w:spacing w:val="0"/>
          <w:sz w:val="32"/>
          <w:szCs w:val="32"/>
        </w:rPr>
        <w:t>诊疗新技术</w:t>
      </w:r>
      <w:r>
        <w:rPr>
          <w:rFonts w:ascii="Times New Roman" w:hAnsi="Times New Roman" w:eastAsia="仿宋_GB2312" w:cs="Times New Roman"/>
          <w:b/>
          <w:bCs/>
          <w:spacing w:val="0"/>
          <w:sz w:val="32"/>
          <w:szCs w:val="32"/>
        </w:rPr>
        <w:t>及</w:t>
      </w:r>
      <w:r>
        <w:rPr>
          <w:rFonts w:hint="eastAsia" w:ascii="Times New Roman" w:hAnsi="Times New Roman" w:eastAsia="仿宋_GB2312" w:cs="Times New Roman"/>
          <w:b/>
          <w:bCs/>
          <w:spacing w:val="0"/>
          <w:sz w:val="32"/>
          <w:szCs w:val="32"/>
        </w:rPr>
        <w:t>临床转化</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H09</w:t>
      </w:r>
      <w:r>
        <w:rPr>
          <w:rFonts w:ascii="Times New Roman" w:hAnsi="Times New Roman" w:eastAsia="仿宋_GB2312" w:cs="Times New Roman"/>
          <w:spacing w:val="0"/>
          <w:sz w:val="32"/>
          <w:szCs w:val="32"/>
        </w:rPr>
        <w:t>的下属代码）</w:t>
      </w:r>
    </w:p>
    <w:p w14:paraId="14BCC0A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spacing w:val="0"/>
          <w:sz w:val="32"/>
          <w:szCs w:val="32"/>
        </w:rPr>
        <w:t>围绕全生命周期强迫症、抑郁症等神经精神疾病发生机制不清、缺乏精准诊疗技术等临床挑战，采用临床样本与实验室研究相结合的策略，探索</w:t>
      </w:r>
      <w:r>
        <w:rPr>
          <w:rFonts w:hint="eastAsia" w:ascii="Times New Roman" w:hAnsi="Times New Roman" w:eastAsia="仿宋_GB2312" w:cs="Times New Roman"/>
          <w:spacing w:val="0"/>
          <w:sz w:val="32"/>
          <w:szCs w:val="32"/>
        </w:rPr>
        <w:t>疾病</w:t>
      </w:r>
      <w:r>
        <w:rPr>
          <w:rFonts w:ascii="Times New Roman" w:hAnsi="Times New Roman" w:eastAsia="仿宋_GB2312" w:cs="Times New Roman"/>
          <w:spacing w:val="0"/>
          <w:sz w:val="32"/>
          <w:szCs w:val="32"/>
        </w:rPr>
        <w:t>不同阶段大脑功能重塑与神经环路变化，</w:t>
      </w:r>
      <w:r>
        <w:rPr>
          <w:rFonts w:hint="eastAsia" w:ascii="Times New Roman" w:hAnsi="Times New Roman" w:eastAsia="仿宋_GB2312" w:cs="Times New Roman"/>
          <w:spacing w:val="0"/>
          <w:sz w:val="32"/>
          <w:szCs w:val="32"/>
        </w:rPr>
        <w:t>结合多模态技术动态监测功能变化，研制闭环调控的临床治疗方案；构建多模态人工智能模型，阐明肝</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脑轴扰动神经环路的核心机制；研发靶向递送系统，为神经精神疾病的诊断和治疗提供新技术</w:t>
      </w:r>
      <w:r>
        <w:rPr>
          <w:rFonts w:ascii="Times New Roman" w:hAnsi="Times New Roman" w:eastAsia="仿宋_GB2312" w:cs="Times New Roman"/>
          <w:spacing w:val="0"/>
          <w:sz w:val="32"/>
          <w:szCs w:val="32"/>
        </w:rPr>
        <w:t>。</w:t>
      </w:r>
    </w:p>
    <w:p w14:paraId="0623855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研发针对强迫症、抑郁症等神经精神疾病的时域干涉闭环调控系统1套，制定闭环神经调控治疗临床规范1项；构建脑靶向递送系统1套；制定精神障碍临床诊疗指南或相关行业标准1项；研发临床干预方案1个。</w:t>
      </w:r>
    </w:p>
    <w:p w14:paraId="23CBF069">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23</w:t>
      </w:r>
      <w:r>
        <w:rPr>
          <w:rFonts w:ascii="Times New Roman" w:hAnsi="Times New Roman" w:eastAsia="仿宋_GB2312" w:cs="Times New Roman"/>
          <w:b/>
          <w:bCs/>
          <w:spacing w:val="0"/>
          <w:sz w:val="32"/>
          <w:szCs w:val="32"/>
        </w:rPr>
        <w:t>.</w:t>
      </w:r>
      <w:bookmarkStart w:id="3" w:name="OLE_LINK26"/>
      <w:bookmarkStart w:id="4" w:name="OLE_LINK27"/>
      <w:r>
        <w:rPr>
          <w:rFonts w:hint="eastAsia" w:ascii="Times New Roman" w:hAnsi="Times New Roman" w:eastAsia="仿宋_GB2312" w:cs="Times New Roman"/>
          <w:b/>
          <w:bCs/>
          <w:spacing w:val="0"/>
          <w:sz w:val="32"/>
          <w:szCs w:val="32"/>
        </w:rPr>
        <w:t>脑功能损伤风险预测与临床干预研究</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H09</w:t>
      </w:r>
      <w:r>
        <w:rPr>
          <w:rFonts w:ascii="Times New Roman" w:hAnsi="Times New Roman" w:eastAsia="仿宋_GB2312" w:cs="Times New Roman"/>
          <w:spacing w:val="0"/>
          <w:sz w:val="32"/>
          <w:szCs w:val="32"/>
        </w:rPr>
        <w:t>的下属代码）</w:t>
      </w:r>
    </w:p>
    <w:p w14:paraId="4CB6898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采用临床队列与基础结合的研究策略，探讨肠道菌群失衡与围术期神经认知障碍的关联，聚焦创伤性脑损伤的关键病理过程，</w:t>
      </w:r>
      <w:r>
        <w:rPr>
          <w:rFonts w:ascii="Times New Roman" w:hAnsi="Times New Roman" w:eastAsia="仿宋_GB2312" w:cs="Times New Roman"/>
          <w:spacing w:val="0"/>
          <w:sz w:val="32"/>
          <w:szCs w:val="32"/>
        </w:rPr>
        <w:t>解析</w:t>
      </w:r>
      <w:r>
        <w:rPr>
          <w:rFonts w:ascii="Times New Roman" w:hAnsi="Times New Roman" w:eastAsia="仿宋_GB2312" w:cs="Times New Roman"/>
          <w:bCs/>
          <w:spacing w:val="0"/>
          <w:sz w:val="32"/>
          <w:szCs w:val="32"/>
        </w:rPr>
        <w:t>睡眠障碍、神经免疫代谢紊乱及神经炎症</w:t>
      </w:r>
      <w:r>
        <w:rPr>
          <w:rFonts w:ascii="Times New Roman" w:hAnsi="Times New Roman" w:eastAsia="仿宋_GB2312" w:cs="Times New Roman"/>
          <w:spacing w:val="0"/>
          <w:sz w:val="32"/>
          <w:szCs w:val="32"/>
        </w:rPr>
        <w:t>等多维度的交互调控网络</w:t>
      </w:r>
      <w:r>
        <w:rPr>
          <w:rFonts w:hint="eastAsia" w:ascii="Times New Roman" w:hAnsi="Times New Roman" w:eastAsia="仿宋_GB2312" w:cs="Times New Roman"/>
          <w:spacing w:val="0"/>
          <w:sz w:val="32"/>
          <w:szCs w:val="32"/>
        </w:rPr>
        <w:t>；构建基于菌群或代谢物的围术期神经认知障碍风险预测模型，筛选干预靶点，</w:t>
      </w:r>
      <w:r>
        <w:rPr>
          <w:rFonts w:ascii="Times New Roman" w:hAnsi="Times New Roman" w:eastAsia="仿宋_GB2312" w:cs="Times New Roman"/>
          <w:spacing w:val="0"/>
          <w:sz w:val="32"/>
          <w:szCs w:val="32"/>
        </w:rPr>
        <w:t>评估其在改善神经功能与认知预后中的干预效果，为脑功能损伤的精准防治提供转化方案。</w:t>
      </w:r>
    </w:p>
    <w:p w14:paraId="2FD56A61">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研发围术期肠道微生态制剂1种；发现肠道菌群诊断标志物1个；制定围术期睡眠障碍患者诊疗指南1项；构建神经元靶向药物递送系统1个。</w:t>
      </w:r>
    </w:p>
    <w:p w14:paraId="6C55C29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24</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神经退行性疾病</w:t>
      </w:r>
      <w:r>
        <w:rPr>
          <w:rFonts w:ascii="Times New Roman" w:hAnsi="Times New Roman" w:eastAsia="仿宋_GB2312" w:cs="Times New Roman"/>
          <w:b/>
          <w:bCs/>
          <w:spacing w:val="0"/>
          <w:sz w:val="32"/>
          <w:szCs w:val="32"/>
        </w:rPr>
        <w:t>精准诊疗关键技术</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H09</w:t>
      </w:r>
      <w:r>
        <w:rPr>
          <w:rFonts w:ascii="Times New Roman" w:hAnsi="Times New Roman" w:eastAsia="仿宋_GB2312" w:cs="Times New Roman"/>
          <w:spacing w:val="0"/>
          <w:sz w:val="32"/>
          <w:szCs w:val="32"/>
        </w:rPr>
        <w:t>的下属代码）</w:t>
      </w:r>
    </w:p>
    <w:p w14:paraId="56DEC40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spacing w:val="0"/>
          <w:sz w:val="32"/>
          <w:szCs w:val="32"/>
        </w:rPr>
        <w:t>针对</w:t>
      </w:r>
      <w:r>
        <w:rPr>
          <w:rFonts w:hint="eastAsia" w:ascii="Times New Roman" w:hAnsi="Times New Roman" w:eastAsia="仿宋_GB2312" w:cs="Times New Roman"/>
          <w:spacing w:val="0"/>
          <w:sz w:val="32"/>
          <w:szCs w:val="32"/>
        </w:rPr>
        <w:t>神经退行性疾病</w:t>
      </w:r>
      <w:r>
        <w:rPr>
          <w:rFonts w:ascii="Times New Roman" w:hAnsi="Times New Roman" w:eastAsia="仿宋_GB2312" w:cs="Times New Roman"/>
          <w:spacing w:val="0"/>
          <w:sz w:val="32"/>
          <w:szCs w:val="32"/>
        </w:rPr>
        <w:t>高发的现状，采用临床与</w:t>
      </w:r>
      <w:r>
        <w:rPr>
          <w:rFonts w:hint="eastAsia" w:ascii="Times New Roman" w:hAnsi="Times New Roman" w:eastAsia="仿宋_GB2312" w:cs="Times New Roman"/>
          <w:spacing w:val="0"/>
          <w:sz w:val="32"/>
          <w:szCs w:val="32"/>
        </w:rPr>
        <w:t>基础</w:t>
      </w:r>
      <w:r>
        <w:rPr>
          <w:rFonts w:ascii="Times New Roman" w:hAnsi="Times New Roman" w:eastAsia="仿宋_GB2312" w:cs="Times New Roman"/>
          <w:spacing w:val="0"/>
          <w:sz w:val="32"/>
          <w:szCs w:val="32"/>
        </w:rPr>
        <w:t>研究相结合的策略，</w:t>
      </w:r>
      <w:r>
        <w:rPr>
          <w:rFonts w:hint="eastAsia" w:ascii="Times New Roman" w:hAnsi="Times New Roman" w:eastAsia="仿宋_GB2312" w:cs="Times New Roman"/>
          <w:spacing w:val="0"/>
          <w:sz w:val="32"/>
          <w:szCs w:val="32"/>
        </w:rPr>
        <w:t>探索体液中细胞外囊泡的作用机制及其与神经元、胶质细胞相互作用的分子调控机制，寻找新的治疗靶点；整合多组学检测、新型无创眼动追踪技术、事件相关电位及外周血浆生物标志检测等前沿技术，构建神经退行性疾病早筛与动态监测的多维度精准评估体系，为疾病精准防控治疗提供新策略</w:t>
      </w:r>
      <w:r>
        <w:rPr>
          <w:rFonts w:ascii="Times New Roman" w:hAnsi="Times New Roman" w:eastAsia="仿宋_GB2312" w:cs="Times New Roman"/>
          <w:spacing w:val="0"/>
          <w:sz w:val="32"/>
          <w:szCs w:val="32"/>
        </w:rPr>
        <w:t>。</w:t>
      </w:r>
    </w:p>
    <w:p w14:paraId="3380E8D5">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建立多模态融合临床数据库1个；建立疾病早筛模型1种及以上</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rPr>
        <w:t>研发血液标志物检测试剂1套；</w:t>
      </w:r>
      <w:r>
        <w:rPr>
          <w:rFonts w:ascii="Times New Roman" w:hAnsi="Times New Roman" w:eastAsia="仿宋_GB2312" w:cs="Times New Roman"/>
          <w:spacing w:val="0"/>
          <w:sz w:val="32"/>
          <w:szCs w:val="32"/>
        </w:rPr>
        <w:t>制定</w:t>
      </w:r>
      <w:r>
        <w:rPr>
          <w:rFonts w:hint="eastAsia" w:ascii="Times New Roman" w:hAnsi="Times New Roman" w:eastAsia="仿宋_GB2312" w:cs="Times New Roman"/>
          <w:spacing w:val="0"/>
          <w:sz w:val="32"/>
          <w:szCs w:val="32"/>
        </w:rPr>
        <w:t>神经退行性疾病</w:t>
      </w:r>
      <w:r>
        <w:rPr>
          <w:rFonts w:ascii="Times New Roman" w:hAnsi="Times New Roman" w:eastAsia="仿宋_GB2312" w:cs="Times New Roman"/>
          <w:spacing w:val="0"/>
          <w:sz w:val="32"/>
          <w:szCs w:val="32"/>
        </w:rPr>
        <w:t>临床诊疗指南或相关行业标准1项。</w:t>
      </w:r>
    </w:p>
    <w:bookmarkEnd w:id="3"/>
    <w:bookmarkEnd w:id="4"/>
    <w:p w14:paraId="2D4CF10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bookmarkStart w:id="5" w:name="OLE_LINK1"/>
      <w:bookmarkStart w:id="6" w:name="OLE_LINK2"/>
      <w:r>
        <w:rPr>
          <w:rFonts w:hint="eastAsia" w:ascii="Times New Roman" w:hAnsi="Times New Roman" w:eastAsia="仿宋_GB2312" w:cs="Times New Roman"/>
          <w:b/>
          <w:bCs/>
          <w:spacing w:val="0"/>
          <w:sz w:val="32"/>
          <w:szCs w:val="32"/>
        </w:rPr>
        <w:t>25.基于“无外源性细胞的水凝胶材料”的缺血性脑卒中治疗新策略</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w:t>
      </w:r>
      <w:r>
        <w:rPr>
          <w:rFonts w:hint="eastAsia" w:ascii="Times New Roman" w:hAnsi="Times New Roman" w:eastAsia="仿宋_GB2312" w:cs="Times New Roman"/>
          <w:bCs/>
          <w:spacing w:val="0"/>
          <w:sz w:val="32"/>
          <w:szCs w:val="32"/>
        </w:rPr>
        <w:t>09</w:t>
      </w:r>
      <w:r>
        <w:rPr>
          <w:rFonts w:ascii="Times New Roman" w:hAnsi="Times New Roman" w:eastAsia="仿宋_GB2312" w:cs="Times New Roman"/>
          <w:spacing w:val="0"/>
          <w:sz w:val="32"/>
          <w:szCs w:val="32"/>
        </w:rPr>
        <w:t>的下属代码）</w:t>
      </w:r>
    </w:p>
    <w:p w14:paraId="051258B9">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聚焦缺血性脑卒中腔内神经再生障碍的临床核心难题，研发新型压电纳米材料负载bFGF营养因子的智能复合水凝胶；联合无创物理电刺激与化学引导的协同模式，诱导内源性神经干细胞异位迁移及定向分化，评估新生神经元及功能性神经环路重建对脑卒中后功能恢复的核心贡献；基于已有的非人灵长类研究基础，利用恒河猴缺血性脑卒中模型验证其临床安全性及可行性，为临床急慢性脑卒中患者提供内源性神经再生的新策略。</w:t>
      </w:r>
    </w:p>
    <w:bookmarkEnd w:id="5"/>
    <w:bookmarkEnd w:id="6"/>
    <w:p w14:paraId="4EEC09E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研发可注射智能水凝胶材料1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2种，实现卒中腔神经再生和功能重建；建立卒中腔内高效微创注射方案1种，完成临床前安全性和可行性的系统评价。</w:t>
      </w:r>
    </w:p>
    <w:p w14:paraId="46831C55">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26.干细胞及其外泌体治疗脊髓损伤的分子机制及临床转化研究</w:t>
      </w:r>
      <w:r>
        <w:rPr>
          <w:rFonts w:hint="eastAsia" w:ascii="Times New Roman" w:hAnsi="Times New Roman" w:eastAsia="仿宋_GB2312" w:cs="Times New Roman"/>
          <w:spacing w:val="0"/>
          <w:sz w:val="32"/>
          <w:szCs w:val="32"/>
        </w:rPr>
        <w:t>（申报学科代码1选择H09的下属代码）</w:t>
      </w:r>
    </w:p>
    <w:p w14:paraId="5D5FE7E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围绕脊髓损伤后微环境中细胞之间的相关作用关系及细胞死亡调控通路，结合多组学分析寻找参与脊髓损伤修复的关键分子；研究脐带间充质干细胞、嗅鞘细胞的纯化、外泌体制备与质量控制标准；从细胞生物学效应、解剖结构修复、行为学改善等多尺度评价干细胞及其外泌体的干预效果，为脊髓损伤干细胞及其外泌体的治疗策略研发及临床转化提供理论依据。</w:t>
      </w:r>
    </w:p>
    <w:p w14:paraId="349D25D9">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黑体"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研发优化的干细胞及其外泌体制备方案1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2个；制定针对脊髓损伤修复的干细胞及其外泌体治疗策略1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w:t>
      </w:r>
    </w:p>
    <w:p w14:paraId="76576DE7">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27.围术期术后谵妄发生机制研究及防治策略</w:t>
      </w:r>
      <w:r>
        <w:rPr>
          <w:rFonts w:hint="eastAsia" w:ascii="Times New Roman" w:hAnsi="Times New Roman" w:eastAsia="仿宋_GB2312" w:cs="Times New Roman"/>
          <w:spacing w:val="0"/>
          <w:sz w:val="32"/>
          <w:szCs w:val="32"/>
        </w:rPr>
        <w:t>（申报学科代码1选择H09下属代码）</w:t>
      </w:r>
    </w:p>
    <w:p w14:paraId="0BAA05A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 xml:space="preserve">针对围术期术后谵妄（POD）发生率高的临床问题，基于前瞻性临床队列，采用转录组学技术与神经心理评估，筛选与POD发生相关的特异性生物标志物组合，构建临床预测模型；利用小鼠POD模型，结合粪菌移植、肠道菌群宏基因组、外泌体示踪、基因干预等技术探讨POD发病机制，发现防治POD的关键靶点，为临床治疗提供参考。   </w:t>
      </w:r>
    </w:p>
    <w:p w14:paraId="5C7C3BE5">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构建POD临床预测模型1个；形成具有转化潜力的临床干预策略1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w:t>
      </w:r>
    </w:p>
    <w:p w14:paraId="0A3D6B08">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等线" w:cs="Times New Roman"/>
          <w:b/>
          <w:bCs/>
          <w:spacing w:val="0"/>
          <w:sz w:val="28"/>
          <w:szCs w:val="32"/>
        </w:rPr>
      </w:pPr>
      <w:r>
        <w:rPr>
          <w:rFonts w:hint="eastAsia" w:ascii="Times New Roman" w:hAnsi="Times New Roman" w:eastAsia="仿宋_GB2312" w:cs="Times New Roman"/>
          <w:b/>
          <w:bCs/>
          <w:spacing w:val="0"/>
          <w:sz w:val="32"/>
          <w:szCs w:val="32"/>
        </w:rPr>
        <w:t>28.智能预警驱动的儿童抗髓鞘少突胶质细胞糖蛋白抗体相关疾病精准诊疗关键技术研究及应用</w:t>
      </w:r>
      <w:bookmarkStart w:id="7" w:name="OLE_LINK45"/>
      <w:r>
        <w:rPr>
          <w:rFonts w:hint="eastAsia" w:ascii="Times New Roman" w:hAnsi="Times New Roman" w:eastAsia="仿宋_GB2312" w:cs="Times New Roman"/>
          <w:spacing w:val="0"/>
          <w:sz w:val="32"/>
          <w:szCs w:val="32"/>
        </w:rPr>
        <w:t>（申报学科代码1选择H09下属代码）</w:t>
      </w:r>
    </w:p>
    <w:bookmarkEnd w:id="7"/>
    <w:p w14:paraId="02BB7AF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6"/>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聚焦抗髓鞘少突胶质细胞糖蛋白抗体相关疾病（MOGAD）发病率、复发率高等关键问题，基于多学科交叉的临床诊断技术，建立临床队列、多模态模型，研发人工智能辅助判断软件系统，精准预测MOGAD预后，筛选影响MOGAD高复发</w:t>
      </w:r>
      <w:r>
        <w:rPr>
          <w:rFonts w:hint="eastAsia" w:ascii="Times New Roman" w:hAnsi="Times New Roman" w:eastAsia="仿宋_GB2312" w:cs="Times New Roman"/>
          <w:spacing w:val="-6"/>
          <w:sz w:val="32"/>
          <w:szCs w:val="32"/>
        </w:rPr>
        <w:t xml:space="preserve">的关键指标并进行验证，寻找早期诊断生物标志物与精准诊疗靶点。 </w:t>
      </w:r>
    </w:p>
    <w:p w14:paraId="39590447">
      <w:pPr>
        <w:keepNext w:val="0"/>
        <w:keepLines w:val="0"/>
        <w:pageBreakBefore w:val="0"/>
        <w:widowControl w:val="0"/>
        <w:kinsoku/>
        <w:wordWrap/>
        <w:overflowPunct/>
        <w:topLinePunct w:val="0"/>
        <w:bidi w:val="0"/>
        <w:snapToGrid/>
        <w:spacing w:line="600" w:lineRule="exact"/>
        <w:ind w:firstLine="643" w:firstLineChars="200"/>
        <w:rPr>
          <w:rFonts w:hint="eastAsia"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构建儿童MOGAD疾病预测模型1个；筛选具有临床诊断价值的生物标志物1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2个；发现精准诊疗新靶标1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2个；研发适配儿童采集脑损伤相关电信号的便携式设备1套。</w:t>
      </w:r>
    </w:p>
    <w:p w14:paraId="752714B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29.</w:t>
      </w:r>
      <w:r>
        <w:rPr>
          <w:rFonts w:ascii="Times New Roman" w:hAnsi="Times New Roman" w:eastAsia="仿宋_GB2312" w:cs="Times New Roman"/>
          <w:b/>
          <w:bCs/>
          <w:spacing w:val="0"/>
          <w:sz w:val="32"/>
          <w:szCs w:val="32"/>
        </w:rPr>
        <w:t>基于多模态数据融合的儿童感染相关性脑病AI预警模型与应用</w:t>
      </w:r>
      <w:r>
        <w:rPr>
          <w:rFonts w:hint="eastAsia" w:ascii="Times New Roman" w:hAnsi="Times New Roman" w:eastAsia="仿宋_GB2312" w:cs="Times New Roman"/>
          <w:spacing w:val="0"/>
          <w:sz w:val="32"/>
          <w:szCs w:val="32"/>
        </w:rPr>
        <w:t>（申报学科代码1选择H09、H15下属代码）</w:t>
      </w:r>
    </w:p>
    <w:p w14:paraId="2CFEDD8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聚焦儿童感染相关性脑病临床隐匿性强、鉴别困难、干预时机模糊的关键问题，基于床旁近红外光谱、振幅整合脑电图及无创脑水肿监测等临床资料，构建多模态儿童感染脑功能损伤数据库，探索早期诊断与危险分层的特异性指标，研发适配儿童的多模态图神经网络</w:t>
      </w:r>
      <w:r>
        <w:rPr>
          <w:rFonts w:ascii="Times New Roman" w:hAnsi="Times New Roman" w:eastAsia="仿宋_GB2312" w:cs="Times New Roman"/>
          <w:spacing w:val="0"/>
          <w:sz w:val="32"/>
          <w:szCs w:val="32"/>
        </w:rPr>
        <w:t>AI模</w:t>
      </w:r>
      <w:r>
        <w:rPr>
          <w:rFonts w:hint="eastAsia" w:ascii="Times New Roman" w:hAnsi="Times New Roman" w:eastAsia="仿宋_GB2312" w:cs="Times New Roman"/>
          <w:spacing w:val="0"/>
          <w:sz w:val="32"/>
          <w:szCs w:val="32"/>
        </w:rPr>
        <w:t>型，寻求精准诊疗的新靶点，阐明重症监护床旁实现风险预警与分型指导的应用路径，为早期诊断、严重程度分层及预后预测提供理论和技术支撑。</w:t>
      </w:r>
    </w:p>
    <w:p w14:paraId="742217E0">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黑体"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发现儿童感染相关性脑病早期诊断生物标志1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2个；研发多模态图神经网络的</w:t>
      </w:r>
      <w:r>
        <w:rPr>
          <w:rFonts w:ascii="Times New Roman" w:hAnsi="Times New Roman" w:eastAsia="仿宋_GB2312" w:cs="Times New Roman"/>
          <w:spacing w:val="0"/>
          <w:sz w:val="32"/>
          <w:szCs w:val="32"/>
        </w:rPr>
        <w:t>AI</w:t>
      </w:r>
      <w:r>
        <w:rPr>
          <w:rFonts w:hint="eastAsia" w:ascii="Times New Roman" w:hAnsi="Times New Roman" w:eastAsia="仿宋_GB2312" w:cs="Times New Roman"/>
          <w:spacing w:val="0"/>
          <w:sz w:val="32"/>
          <w:szCs w:val="32"/>
        </w:rPr>
        <w:t>预警模型1套；完成临床验证，≥200例。</w:t>
      </w:r>
    </w:p>
    <w:p w14:paraId="137122D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30.基于高场强磁共振的烟雾病精准智能诊疗关键技术研究</w:t>
      </w:r>
      <w:r>
        <w:rPr>
          <w:rFonts w:hint="eastAsia" w:ascii="Times New Roman" w:hAnsi="Times New Roman" w:eastAsia="仿宋_GB2312" w:cs="Times New Roman"/>
          <w:spacing w:val="0"/>
          <w:sz w:val="32"/>
          <w:szCs w:val="32"/>
        </w:rPr>
        <w:t xml:space="preserve">（申报学科代码1选择H09、H18下属代码） </w:t>
      </w:r>
    </w:p>
    <w:p w14:paraId="4085383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针对烟雾病术后症状改善不佳的问题，利用高场强磁共振高分辨成像及人工智能技术，探索重要解剖结构的精准定位与患者预后的关联机制，设计融合多维度影像特征的精准定位方法，构建全脑脑动脉</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脑膜淋巴管图谱及手术规划模型，并开展临床评价。</w:t>
      </w:r>
    </w:p>
    <w:p w14:paraId="22E40195">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等线" w:cs="Times New Roman"/>
          <w:spacing w:val="0"/>
          <w:sz w:val="21"/>
          <w:szCs w:val="2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绘制基于高场强磁共振与人工智能的全脑脑动脉</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脑膜淋巴管图谱1套；建立神经外科手术新范式1种，并实现临床推广。</w:t>
      </w:r>
    </w:p>
    <w:p w14:paraId="0C74868F">
      <w:pPr>
        <w:keepNext w:val="0"/>
        <w:keepLines w:val="0"/>
        <w:pageBreakBefore w:val="0"/>
        <w:widowControl w:val="0"/>
        <w:kinsoku/>
        <w:wordWrap/>
        <w:overflowPunct/>
        <w:topLinePunct w:val="0"/>
        <w:bidi w:val="0"/>
        <w:snapToGrid/>
        <w:spacing w:before="0" w:line="600" w:lineRule="exact"/>
        <w:ind w:left="0" w:leftChars="0" w:firstLine="643" w:firstLineChars="200"/>
        <w:textAlignment w:val="baseline"/>
        <w:rPr>
          <w:rFonts w:ascii="Times New Roman" w:hAnsi="Times New Roman" w:eastAsia="仿宋_GB2312" w:cs="Times New Roman"/>
          <w:b/>
          <w:bCs/>
          <w:color w:val="EE0000"/>
          <w:spacing w:val="0"/>
          <w:sz w:val="32"/>
          <w:szCs w:val="32"/>
        </w:rPr>
      </w:pPr>
      <w:r>
        <w:rPr>
          <w:rFonts w:hint="eastAsia" w:ascii="Times New Roman" w:hAnsi="Times New Roman" w:eastAsia="仿宋_GB2312" w:cs="Times New Roman"/>
          <w:b/>
          <w:bCs/>
          <w:spacing w:val="0"/>
          <w:sz w:val="32"/>
          <w:szCs w:val="32"/>
        </w:rPr>
        <w:t>31</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肿瘤免疫逃逸及耐受的精准靶向治疗</w:t>
      </w:r>
      <w:r>
        <w:rPr>
          <w:rFonts w:ascii="Times New Roman" w:hAnsi="Times New Roman" w:eastAsia="仿宋_GB2312" w:cs="Times New Roman"/>
          <w:b/>
          <w:bCs/>
          <w:spacing w:val="0"/>
          <w:sz w:val="32"/>
          <w:szCs w:val="32"/>
        </w:rPr>
        <w:t>（</w:t>
      </w:r>
      <w:r>
        <w:rPr>
          <w:rFonts w:ascii="Times New Roman" w:hAnsi="Times New Roman" w:eastAsia="仿宋_GB2312" w:cs="Times New Roman"/>
          <w:bCs/>
          <w:spacing w:val="0"/>
          <w:sz w:val="32"/>
          <w:szCs w:val="32"/>
        </w:rPr>
        <w:t>申报学科代码1选择 H</w:t>
      </w:r>
      <w:r>
        <w:rPr>
          <w:rFonts w:hint="eastAsia" w:ascii="Times New Roman" w:hAnsi="Times New Roman" w:eastAsia="仿宋_GB2312" w:cs="Times New Roman"/>
          <w:bCs/>
          <w:spacing w:val="0"/>
          <w:sz w:val="32"/>
          <w:szCs w:val="32"/>
        </w:rPr>
        <w:t>10、H16</w:t>
      </w:r>
      <w:r>
        <w:rPr>
          <w:rFonts w:ascii="Times New Roman" w:hAnsi="Times New Roman" w:eastAsia="仿宋_GB2312" w:cs="Times New Roman"/>
          <w:bCs/>
          <w:spacing w:val="0"/>
          <w:sz w:val="32"/>
          <w:szCs w:val="32"/>
        </w:rPr>
        <w:t>的下属代码</w:t>
      </w:r>
      <w:r>
        <w:rPr>
          <w:rFonts w:ascii="Times New Roman" w:hAnsi="Times New Roman" w:eastAsia="仿宋_GB2312" w:cs="Times New Roman"/>
          <w:b/>
          <w:bCs/>
          <w:spacing w:val="0"/>
          <w:sz w:val="32"/>
          <w:szCs w:val="32"/>
        </w:rPr>
        <w:t>）</w:t>
      </w:r>
    </w:p>
    <w:p w14:paraId="21CDAC52">
      <w:pPr>
        <w:keepNext w:val="0"/>
        <w:keepLines w:val="0"/>
        <w:pageBreakBefore w:val="0"/>
        <w:widowControl w:val="0"/>
        <w:kinsoku/>
        <w:wordWrap/>
        <w:overflowPunct/>
        <w:topLinePunct w:val="0"/>
        <w:bidi w:val="0"/>
        <w:snapToGrid/>
        <w:spacing w:before="0" w:line="600" w:lineRule="exact"/>
        <w:ind w:left="0" w:leftChars="0" w:firstLine="643" w:firstLineChars="200"/>
        <w:textAlignment w:val="baseline"/>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肿瘤免疫治疗响应不足、免疫抑制和免疫耐受等临床问题，聚焦免疫细胞亚群与肿瘤细胞交互作用网络，解析免疫细胞亚群介导肿瘤免疫逃逸的关键作用，探讨代谢重编程驱动肿瘤干性维持与免疫耐受的机理，构建免疫治疗疗效预测模型，开发靶向免疫逃逸和耐受的精准疗法和临床策略。</w:t>
      </w:r>
      <w:r>
        <w:rPr>
          <w:rFonts w:ascii="Times New Roman" w:hAnsi="Times New Roman" w:eastAsia="仿宋_GB2312" w:cs="Times New Roman"/>
          <w:spacing w:val="0"/>
          <w:sz w:val="32"/>
          <w:szCs w:val="32"/>
        </w:rPr>
        <w:t xml:space="preserve"> </w:t>
      </w:r>
    </w:p>
    <w:p w14:paraId="481F234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bCs/>
          <w:spacing w:val="0"/>
          <w:sz w:val="32"/>
          <w:szCs w:val="32"/>
        </w:rPr>
        <w:t>研发</w:t>
      </w:r>
      <w:r>
        <w:rPr>
          <w:rFonts w:hint="eastAsia" w:ascii="Times New Roman" w:hAnsi="Times New Roman" w:eastAsia="仿宋_GB2312" w:cs="Times New Roman"/>
          <w:spacing w:val="0"/>
          <w:sz w:val="32"/>
          <w:szCs w:val="32"/>
        </w:rPr>
        <w:t>免疫细胞亚群分型与预后评估体系1套；建立免疫治疗疗效预测模型1个；研发基于靶向递送或细胞干预的免疫精准疗法或治疗新策略1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2个，开展临床前验证</w:t>
      </w:r>
      <w:r>
        <w:rPr>
          <w:rFonts w:ascii="Times New Roman" w:hAnsi="Times New Roman" w:eastAsia="仿宋_GB2312" w:cs="Times New Roman"/>
          <w:spacing w:val="0"/>
          <w:sz w:val="32"/>
          <w:szCs w:val="32"/>
        </w:rPr>
        <w:t>。</w:t>
      </w:r>
    </w:p>
    <w:p w14:paraId="74B26D9E">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仿宋" w:cs="Times New Roman"/>
          <w:b/>
          <w:bCs/>
          <w:spacing w:val="0"/>
          <w:kern w:val="0"/>
          <w:sz w:val="30"/>
          <w:szCs w:val="30"/>
        </w:rPr>
      </w:pPr>
      <w:r>
        <w:rPr>
          <w:rFonts w:hint="eastAsia" w:ascii="Times New Roman" w:hAnsi="Times New Roman" w:eastAsia="仿宋_GB2312" w:cs="Times New Roman"/>
          <w:b/>
          <w:bCs/>
          <w:spacing w:val="0"/>
          <w:sz w:val="32"/>
          <w:szCs w:val="32"/>
        </w:rPr>
        <w:t>32.基于多组学与人工智能技术的风湿免疫疾病全病程演变规律与早期预警研究</w:t>
      </w:r>
      <w:r>
        <w:rPr>
          <w:rFonts w:hint="eastAsia" w:ascii="Times New Roman" w:hAnsi="Times New Roman" w:eastAsia="仿宋_GB2312" w:cs="Times New Roman"/>
          <w:spacing w:val="0"/>
          <w:sz w:val="32"/>
          <w:szCs w:val="32"/>
        </w:rPr>
        <w:t>（申报学科代码1选择H10下属代码）</w:t>
      </w:r>
    </w:p>
    <w:p w14:paraId="3BA8B98D">
      <w:pPr>
        <w:keepNext w:val="0"/>
        <w:keepLines w:val="0"/>
        <w:pageBreakBefore w:val="0"/>
        <w:widowControl w:val="0"/>
        <w:kinsoku/>
        <w:wordWrap/>
        <w:overflowPunct/>
        <w:topLinePunct w:val="0"/>
        <w:autoSpaceDE/>
        <w:autoSpaceDN/>
        <w:bidi w:val="0"/>
        <w:adjustRightInd w:val="0"/>
        <w:snapToGrid/>
        <w:spacing w:line="600" w:lineRule="exact"/>
        <w:ind w:firstLine="643" w:firstLineChars="200"/>
        <w:jc w:val="left"/>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采用大队列与多组学整合分析策略，建立包含临床前期高危个体、早期患者和典型患者的省内多中心前瞻性纵向队列；系统收集并整合多组学数据，利用人工智能与机器学习算法，挖掘驱动疾病发生、从临床前向临床期转化的关键分子事件与跨组学网络标志物；开发可用于识别高危个体、预测疾病转化的数字化工具或生物标志物组合，并在临床队列中进行验证。</w:t>
      </w:r>
    </w:p>
    <w:p w14:paraId="517797E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绘制重大风湿免疫疾病的全病程演变分子图谱1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2种；建立具有高灵敏度和特异性的早期预警或诊断模型</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rPr>
        <w:t>标志物组合1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2套。</w:t>
      </w:r>
    </w:p>
    <w:p w14:paraId="03366AB9">
      <w:pPr>
        <w:keepNext w:val="0"/>
        <w:keepLines w:val="0"/>
        <w:pageBreakBefore w:val="0"/>
        <w:widowControl w:val="0"/>
        <w:kinsoku/>
        <w:wordWrap/>
        <w:overflowPunct/>
        <w:topLinePunct w:val="0"/>
        <w:autoSpaceDE/>
        <w:autoSpaceDN/>
        <w:bidi w:val="0"/>
        <w:adjustRightInd w:val="0"/>
        <w:snapToGrid/>
        <w:spacing w:before="0" w:line="600" w:lineRule="exact"/>
        <w:ind w:left="0" w:firstLine="627" w:firstLineChars="200"/>
        <w:jc w:val="left"/>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33.外泌体调控角质形成细胞功能异常在免疫炎症性皮肤病中的作用及临床转化研究</w:t>
      </w:r>
      <w:r>
        <w:rPr>
          <w:rFonts w:hint="eastAsia" w:ascii="Times New Roman" w:hAnsi="Times New Roman" w:eastAsia="仿宋_GB2312" w:cs="Times New Roman"/>
          <w:kern w:val="0"/>
          <w:sz w:val="32"/>
          <w:szCs w:val="32"/>
          <w:lang w:val="en-US" w:eastAsia="zh-CN" w:bidi="ar-SA"/>
        </w:rPr>
        <w:t>（申请代码选择H11的下属代码）</w:t>
      </w:r>
    </w:p>
    <w:p w14:paraId="0A76EE26">
      <w:pPr>
        <w:keepNext w:val="0"/>
        <w:keepLines w:val="0"/>
        <w:pageBreakBefore w:val="0"/>
        <w:widowControl w:val="0"/>
        <w:kinsoku/>
        <w:wordWrap/>
        <w:overflowPunct/>
        <w:topLinePunct w:val="0"/>
        <w:autoSpaceDE/>
        <w:autoSpaceDN/>
        <w:bidi w:val="0"/>
        <w:adjustRightInd w:val="0"/>
        <w:snapToGrid/>
        <w:spacing w:before="0" w:line="600" w:lineRule="exact"/>
        <w:ind w:left="0" w:firstLine="627" w:firstLineChars="200"/>
        <w:jc w:val="left"/>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研究内容：</w:t>
      </w:r>
      <w:r>
        <w:rPr>
          <w:rFonts w:hint="eastAsia" w:ascii="Times New Roman" w:hAnsi="Times New Roman" w:eastAsia="仿宋_GB2312" w:cs="Times New Roman"/>
          <w:kern w:val="0"/>
          <w:sz w:val="32"/>
          <w:szCs w:val="32"/>
          <w:lang w:val="en-US" w:eastAsia="zh-CN" w:bidi="ar-SA"/>
        </w:rPr>
        <w:t>系统解析银屑病及共病、特应性皮炎等免疫炎症性皮肤病患者皮损及外周血中外泌体的特性与分子谱；通过体外细胞实验与动物模型，探究免疫细胞及角质形成细胞来源外泌体调控角质形成细胞增殖、分化及炎症因子分泌的分子靶点与下游信号通路；筛选外泌体相关诊断标志物，开发靶向修饰的治疗性外泌体并验证其临床前疗效。</w:t>
      </w:r>
    </w:p>
    <w:p w14:paraId="519AB777">
      <w:pPr>
        <w:keepNext w:val="0"/>
        <w:keepLines w:val="0"/>
        <w:pageBreakBefore w:val="0"/>
        <w:widowControl w:val="0"/>
        <w:kinsoku/>
        <w:wordWrap/>
        <w:overflowPunct/>
        <w:topLinePunct w:val="0"/>
        <w:autoSpaceDE/>
        <w:autoSpaceDN/>
        <w:bidi w:val="0"/>
        <w:adjustRightInd w:val="0"/>
        <w:snapToGrid/>
        <w:spacing w:before="0" w:line="600" w:lineRule="exact"/>
        <w:ind w:left="0" w:firstLine="627" w:firstLineChars="200"/>
        <w:jc w:val="left"/>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研究目标：</w:t>
      </w:r>
      <w:r>
        <w:rPr>
          <w:rFonts w:hint="eastAsia" w:ascii="Times New Roman" w:hAnsi="Times New Roman" w:eastAsia="仿宋_GB2312" w:cs="Times New Roman"/>
          <w:kern w:val="0"/>
          <w:sz w:val="32"/>
          <w:szCs w:val="32"/>
          <w:lang w:val="en-US" w:eastAsia="zh-CN" w:bidi="ar-SA"/>
        </w:rPr>
        <w:t>明确参与免疫炎症性皮肤病发病的外泌体标志物1—2个，建立以外泌体为载体的靶向治疗策略1种。</w:t>
      </w:r>
    </w:p>
    <w:p w14:paraId="4187EBE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34</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药物毒性检测与药物毒性作用的治疗策略</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申报学科代码1选择H13</w:t>
      </w:r>
      <w:r>
        <w:rPr>
          <w:rFonts w:hint="eastAsia" w:ascii="Times New Roman" w:hAnsi="Times New Roman" w:eastAsia="仿宋_GB2312" w:cs="Times New Roman"/>
          <w:spacing w:val="0"/>
          <w:sz w:val="32"/>
          <w:szCs w:val="32"/>
        </w:rPr>
        <w:t>、H</w:t>
      </w:r>
      <w:r>
        <w:rPr>
          <w:rFonts w:ascii="Times New Roman" w:hAnsi="Times New Roman" w:eastAsia="仿宋_GB2312" w:cs="Times New Roman"/>
          <w:spacing w:val="0"/>
          <w:sz w:val="32"/>
          <w:szCs w:val="32"/>
        </w:rPr>
        <w:t>30</w:t>
      </w:r>
      <w:r>
        <w:rPr>
          <w:rFonts w:hint="eastAsia" w:ascii="Times New Roman" w:hAnsi="Times New Roman" w:eastAsia="仿宋_GB2312" w:cs="Times New Roman"/>
          <w:spacing w:val="0"/>
          <w:sz w:val="32"/>
          <w:szCs w:val="32"/>
        </w:rPr>
        <w:t>的</w:t>
      </w:r>
      <w:r>
        <w:rPr>
          <w:rFonts w:ascii="Times New Roman" w:hAnsi="Times New Roman" w:eastAsia="仿宋_GB2312" w:cs="Times New Roman"/>
          <w:spacing w:val="0"/>
          <w:sz w:val="32"/>
          <w:szCs w:val="32"/>
        </w:rPr>
        <w:t>下属代码）</w:t>
      </w:r>
    </w:p>
    <w:p w14:paraId="418E531D">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spacing w:val="0"/>
          <w:sz w:val="32"/>
          <w:szCs w:val="32"/>
        </w:rPr>
        <w:t>针对化疗药物及中药等在临床应用中所产生的毒性作用，系统开展药物毒性</w:t>
      </w:r>
      <w:r>
        <w:rPr>
          <w:rFonts w:hint="eastAsia" w:ascii="Times New Roman" w:hAnsi="Times New Roman" w:eastAsia="仿宋_GB2312" w:cs="Times New Roman"/>
          <w:spacing w:val="0"/>
          <w:sz w:val="32"/>
          <w:szCs w:val="32"/>
        </w:rPr>
        <w:t>检测、</w:t>
      </w:r>
      <w:r>
        <w:rPr>
          <w:rFonts w:ascii="Times New Roman" w:hAnsi="Times New Roman" w:eastAsia="仿宋_GB2312" w:cs="Times New Roman"/>
          <w:spacing w:val="0"/>
          <w:sz w:val="32"/>
          <w:szCs w:val="32"/>
        </w:rPr>
        <w:t>相关机制与干预研究</w:t>
      </w:r>
      <w:r>
        <w:rPr>
          <w:rFonts w:hint="eastAsia" w:ascii="Times New Roman" w:hAnsi="Times New Roman" w:eastAsia="仿宋_GB2312" w:cs="Times New Roman"/>
          <w:spacing w:val="0"/>
          <w:sz w:val="32"/>
          <w:szCs w:val="32"/>
        </w:rPr>
        <w:t>，利用高内涵细胞成像与人工智能，对多靶器官细胞进行高通量毒性表型筛选，实现关键毒性物质的精准、快速辨识及其量</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毒、构</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毒关系研究，构建有毒药物化学成分全景图谱；</w:t>
      </w:r>
      <w:r>
        <w:rPr>
          <w:rFonts w:ascii="Times New Roman" w:hAnsi="Times New Roman" w:eastAsia="仿宋_GB2312" w:cs="Times New Roman"/>
          <w:spacing w:val="0"/>
          <w:sz w:val="32"/>
          <w:szCs w:val="32"/>
        </w:rPr>
        <w:t>聚焦</w:t>
      </w:r>
      <w:r>
        <w:rPr>
          <w:rFonts w:hint="eastAsia" w:ascii="Times New Roman" w:hAnsi="Times New Roman" w:eastAsia="仿宋_GB2312" w:cs="Times New Roman"/>
          <w:spacing w:val="0"/>
          <w:sz w:val="32"/>
          <w:szCs w:val="32"/>
        </w:rPr>
        <w:t>化疗药</w:t>
      </w:r>
      <w:r>
        <w:rPr>
          <w:rFonts w:ascii="Times New Roman" w:hAnsi="Times New Roman" w:eastAsia="仿宋_GB2312" w:cs="Times New Roman"/>
          <w:spacing w:val="0"/>
          <w:sz w:val="32"/>
          <w:szCs w:val="32"/>
        </w:rPr>
        <w:t>的耳毒性作用，利用单细胞测序、电生理学等技术，筛选关键膜蛋白靶点，阐明相关跨膜转运机制及离子通道在毒性发生中的作用</w:t>
      </w:r>
      <w:r>
        <w:rPr>
          <w:rFonts w:hint="eastAsia" w:ascii="Times New Roman" w:hAnsi="Times New Roman" w:eastAsia="仿宋_GB2312" w:cs="Times New Roman"/>
          <w:spacing w:val="0"/>
          <w:sz w:val="32"/>
          <w:szCs w:val="32"/>
        </w:rPr>
        <w:t>，开发靶向干预策略。</w:t>
      </w:r>
    </w:p>
    <w:p w14:paraId="20F2E5D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发现并验证介导顺铂细胞摄取的关键膜蛋白新靶标1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2个；建立基于细胞成像与人工智能的有毒中药毒性物质高通量筛选与辨识平台1套；完成创新防治策略的验证至少1种。</w:t>
      </w:r>
    </w:p>
    <w:p w14:paraId="0C6E6AC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35</w:t>
      </w:r>
      <w:r>
        <w:rPr>
          <w:rFonts w:ascii="Times New Roman" w:hAnsi="Times New Roman" w:eastAsia="仿宋_GB2312" w:cs="Times New Roman"/>
          <w:b/>
          <w:spacing w:val="0"/>
          <w:sz w:val="32"/>
          <w:szCs w:val="32"/>
        </w:rPr>
        <w:t>.</w:t>
      </w:r>
      <w:r>
        <w:rPr>
          <w:rFonts w:ascii="Times New Roman" w:hAnsi="Times New Roman" w:eastAsia="仿宋_GB2312" w:cs="Times New Roman"/>
          <w:b/>
          <w:bCs/>
          <w:spacing w:val="0"/>
          <w:sz w:val="32"/>
          <w:szCs w:val="32"/>
        </w:rPr>
        <w:t>牙周病诊治的新技术研发及应用</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H14</w:t>
      </w:r>
      <w:r>
        <w:rPr>
          <w:rFonts w:ascii="Times New Roman" w:hAnsi="Times New Roman" w:eastAsia="仿宋_GB2312" w:cs="Times New Roman"/>
          <w:spacing w:val="0"/>
          <w:sz w:val="32"/>
          <w:szCs w:val="32"/>
        </w:rPr>
        <w:t>的下属代码）</w:t>
      </w:r>
    </w:p>
    <w:p w14:paraId="37FADF69">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针对牙周炎致病菌发现不全、研究手段单一的临床瓶颈，通过计算机辅助设计、微加工联合多组学技术，开发口腔原位培养芯片体系，提升菌株分离效率，构建活口腔微生物资源库；依托牙周炎人群队列，整合多组学与机器学习方法，构建“微生物</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牙周炎”关联网络，初步筛选驱动牙周炎的新型微生物，研发益生菌或靶向药物递送系统的干预策略，为牙周炎精准干预提供支持。</w:t>
      </w:r>
    </w:p>
    <w:p w14:paraId="7DB6B03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研发口腔原位培养芯片1套；构建新型牙周炎致病微生物资源库1个；制定牙周炎靶向干预策略不少于1项。</w:t>
      </w:r>
    </w:p>
    <w:p w14:paraId="7FD5973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36</w:t>
      </w:r>
      <w:r>
        <w:rPr>
          <w:rFonts w:ascii="Times New Roman" w:hAnsi="Times New Roman" w:eastAsia="仿宋_GB2312" w:cs="Times New Roman"/>
          <w:b/>
          <w:spacing w:val="0"/>
          <w:sz w:val="32"/>
          <w:szCs w:val="32"/>
        </w:rPr>
        <w:t>.</w:t>
      </w:r>
      <w:r>
        <w:rPr>
          <w:rFonts w:hint="default" w:ascii="Times New Roman" w:hAnsi="Times New Roman" w:eastAsia="等线" w:cs="Times New Roman"/>
          <w:spacing w:val="0"/>
          <w:sz w:val="21"/>
          <w:szCs w:val="22"/>
        </w:rPr>
        <w:t xml:space="preserve"> </w:t>
      </w:r>
      <w:r>
        <w:rPr>
          <w:rFonts w:hint="eastAsia" w:ascii="Times New Roman" w:hAnsi="Times New Roman" w:eastAsia="仿宋_GB2312" w:cs="Times New Roman"/>
          <w:b/>
          <w:spacing w:val="0"/>
          <w:sz w:val="32"/>
          <w:szCs w:val="32"/>
        </w:rPr>
        <w:t>颌骨临界骨缺损的修复策略</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w:t>
      </w:r>
      <w:r>
        <w:rPr>
          <w:rFonts w:hint="eastAsia" w:ascii="Times New Roman" w:hAnsi="Times New Roman" w:eastAsia="仿宋_GB2312" w:cs="Times New Roman"/>
          <w:bCs/>
          <w:spacing w:val="0"/>
          <w:sz w:val="32"/>
          <w:szCs w:val="32"/>
        </w:rPr>
        <w:t>14</w:t>
      </w:r>
      <w:r>
        <w:rPr>
          <w:rFonts w:ascii="Times New Roman" w:hAnsi="Times New Roman" w:eastAsia="仿宋_GB2312" w:cs="Times New Roman"/>
          <w:spacing w:val="0"/>
          <w:sz w:val="32"/>
          <w:szCs w:val="32"/>
        </w:rPr>
        <w:t>的下属代码）</w:t>
      </w:r>
    </w:p>
    <w:p w14:paraId="41F5AE95">
      <w:pPr>
        <w:keepNext w:val="0"/>
        <w:keepLines w:val="0"/>
        <w:pageBreakBefore w:val="0"/>
        <w:widowControl w:val="0"/>
        <w:kinsoku/>
        <w:wordWrap/>
        <w:overflowPunct/>
        <w:topLinePunct w:val="0"/>
        <w:bidi w:val="0"/>
        <w:snapToGrid/>
        <w:spacing w:line="600" w:lineRule="exact"/>
        <w:ind w:firstLine="643" w:firstLineChars="200"/>
        <w:textAlignment w:val="baseline"/>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spacing w:val="0"/>
          <w:sz w:val="32"/>
          <w:szCs w:val="32"/>
        </w:rPr>
        <w:t>针对颌骨临界骨缺损修复</w:t>
      </w:r>
      <w:r>
        <w:rPr>
          <w:rFonts w:hint="eastAsia" w:ascii="Times New Roman" w:hAnsi="Times New Roman" w:eastAsia="仿宋_GB2312" w:cs="Times New Roman"/>
          <w:spacing w:val="0"/>
          <w:sz w:val="32"/>
          <w:szCs w:val="32"/>
        </w:rPr>
        <w:t>效率低的临床问题，通过临床队列分析影响颌骨临界骨缺损修复的影响因素，构建以乳酸盐作为能量供应的智能水凝胶</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rPr>
        <w:t>探索其维持细胞氧化还原稳态并激活成骨通路的机制，建立颌骨临界骨缺损动物模型，验证智能水凝胶成骨效能，为提高骨缺损修复效果提供新策略。</w:t>
      </w:r>
    </w:p>
    <w:p w14:paraId="49C8D9C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研发可注射、原位固化、兼具供能</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成骨</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矿化功能的智能水凝胶1种；构建颌骨临界骨缺损修复方案1套；形成颌骨临界骨缺损临床效果评估指标体系1套</w:t>
      </w:r>
      <w:r>
        <w:rPr>
          <w:rFonts w:ascii="Times New Roman" w:hAnsi="Times New Roman" w:eastAsia="仿宋_GB2312" w:cs="Times New Roman"/>
          <w:spacing w:val="0"/>
          <w:sz w:val="32"/>
          <w:szCs w:val="32"/>
        </w:rPr>
        <w:t>。</w:t>
      </w:r>
    </w:p>
    <w:p w14:paraId="1B8835A1">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color w:val="EE0000"/>
          <w:spacing w:val="0"/>
          <w:sz w:val="32"/>
          <w:szCs w:val="32"/>
        </w:rPr>
      </w:pPr>
      <w:r>
        <w:rPr>
          <w:rFonts w:hint="eastAsia" w:ascii="Times New Roman" w:hAnsi="Times New Roman" w:eastAsia="仿宋_GB2312" w:cs="Times New Roman"/>
          <w:b/>
          <w:bCs/>
          <w:spacing w:val="0"/>
          <w:sz w:val="32"/>
          <w:szCs w:val="32"/>
        </w:rPr>
        <w:t>37</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正畸加速牙齿移动的精准诊疗关键技术</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w:t>
      </w:r>
      <w:r>
        <w:rPr>
          <w:rFonts w:hint="eastAsia" w:ascii="Times New Roman" w:hAnsi="Times New Roman" w:eastAsia="仿宋_GB2312" w:cs="Times New Roman"/>
          <w:bCs/>
          <w:spacing w:val="0"/>
          <w:sz w:val="32"/>
          <w:szCs w:val="32"/>
        </w:rPr>
        <w:t>14</w:t>
      </w:r>
      <w:r>
        <w:rPr>
          <w:rFonts w:ascii="Times New Roman" w:hAnsi="Times New Roman" w:eastAsia="仿宋_GB2312" w:cs="Times New Roman"/>
          <w:spacing w:val="0"/>
          <w:sz w:val="32"/>
          <w:szCs w:val="32"/>
        </w:rPr>
        <w:t>的下属代码）</w:t>
      </w:r>
    </w:p>
    <w:p w14:paraId="0B35E3BB">
      <w:pPr>
        <w:keepNext w:val="0"/>
        <w:keepLines w:val="0"/>
        <w:pageBreakBefore w:val="0"/>
        <w:widowControl w:val="0"/>
        <w:kinsoku/>
        <w:wordWrap/>
        <w:overflowPunct/>
        <w:topLinePunct w:val="0"/>
        <w:bidi w:val="0"/>
        <w:snapToGrid/>
        <w:spacing w:before="0" w:line="600" w:lineRule="exact"/>
        <w:ind w:left="0" w:leftChars="0" w:firstLine="643" w:firstLineChars="200"/>
        <w:textAlignment w:val="baseline"/>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围绕成年人正畸牙移动效率低、治疗周期长的临床瓶颈，聚焦“牙周膜干细胞力学</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代谢重编程响应障碍”这一核心科学问题，综合运用多组学分析、分子生物学验证及生物材料工程等手段，揭示力学刺激下成年人牙周膜干细胞功能减退的代谢机制，研发精准干预新策略，为安全高效的正畸治疗提供新理论与新技术。</w:t>
      </w:r>
    </w:p>
    <w:p w14:paraId="47FB89A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筛选介导成年人牙周膜干细胞力学响应异常的新靶标1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2个；研发靶向关键代谢物的智能响应纳米囊泡</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水凝胶递送系统1套</w:t>
      </w:r>
      <w:r>
        <w:rPr>
          <w:rFonts w:ascii="Times New Roman" w:hAnsi="Times New Roman" w:eastAsia="仿宋_GB2312" w:cs="Times New Roman"/>
          <w:spacing w:val="0"/>
          <w:sz w:val="32"/>
          <w:szCs w:val="32"/>
        </w:rPr>
        <w:t>。</w:t>
      </w:r>
    </w:p>
    <w:p w14:paraId="4BF556D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3</w:t>
      </w:r>
      <w:r>
        <w:rPr>
          <w:rFonts w:hint="eastAsia" w:ascii="Times New Roman" w:hAnsi="Times New Roman" w:eastAsia="仿宋_GB2312" w:cs="Times New Roman"/>
          <w:b/>
          <w:spacing w:val="0"/>
          <w:sz w:val="32"/>
          <w:szCs w:val="32"/>
        </w:rPr>
        <w:t>8</w:t>
      </w:r>
      <w:r>
        <w:rPr>
          <w:rFonts w:hint="eastAsia" w:ascii="Times New Roman" w:hAnsi="Times New Roman" w:eastAsia="仿宋_GB2312" w:cs="Times New Roman"/>
          <w:b/>
          <w:spacing w:val="0"/>
          <w:sz w:val="32"/>
          <w:szCs w:val="32"/>
          <w:lang w:eastAsia="zh-CN"/>
        </w:rPr>
        <w:t>.</w:t>
      </w:r>
      <w:r>
        <w:rPr>
          <w:rFonts w:hint="eastAsia" w:ascii="Times New Roman" w:hAnsi="Times New Roman" w:eastAsia="仿宋_GB2312" w:cs="Times New Roman"/>
          <w:b/>
          <w:bCs/>
          <w:spacing w:val="0"/>
          <w:sz w:val="32"/>
          <w:szCs w:val="32"/>
        </w:rPr>
        <w:t>肿瘤放疗、化疗与免疫联合诊疗新策略</w:t>
      </w:r>
      <w:r>
        <w:rPr>
          <w:rFonts w:ascii="Times New Roman" w:hAnsi="Times New Roman" w:eastAsia="仿宋_GB2312" w:cs="Times New Roman"/>
          <w:spacing w:val="0"/>
          <w:sz w:val="32"/>
          <w:szCs w:val="32"/>
        </w:rPr>
        <w:t>（申报学科代码1选择H</w:t>
      </w:r>
      <w:r>
        <w:rPr>
          <w:rFonts w:hint="eastAsia" w:ascii="Times New Roman" w:hAnsi="Times New Roman" w:eastAsia="仿宋_GB2312" w:cs="Times New Roman"/>
          <w:spacing w:val="0"/>
          <w:sz w:val="32"/>
          <w:szCs w:val="32"/>
        </w:rPr>
        <w:t>16</w:t>
      </w:r>
      <w:r>
        <w:rPr>
          <w:rFonts w:ascii="Times New Roman" w:hAnsi="Times New Roman" w:eastAsia="仿宋_GB2312" w:cs="Times New Roman"/>
          <w:spacing w:val="0"/>
          <w:sz w:val="32"/>
          <w:szCs w:val="32"/>
        </w:rPr>
        <w:t>的下属代码）</w:t>
      </w:r>
    </w:p>
    <w:p w14:paraId="0311C93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ascii="Times New Roman" w:hAnsi="Times New Roman" w:eastAsia="仿宋_GB2312" w:cs="Times New Roman"/>
          <w:spacing w:val="0"/>
          <w:sz w:val="32"/>
          <w:szCs w:val="32"/>
        </w:rPr>
        <w:t>围绕肿瘤在放疗、化疗与免疫治疗联合模式下响应异质性大</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易发生继发性抵抗的临床难题，采用临床队列研究与实验验证相结合的策略，</w:t>
      </w:r>
      <w:r>
        <w:rPr>
          <w:rFonts w:hint="eastAsia" w:ascii="Times New Roman" w:hAnsi="Times New Roman" w:eastAsia="仿宋_GB2312" w:cs="Times New Roman"/>
          <w:spacing w:val="0"/>
          <w:sz w:val="32"/>
          <w:szCs w:val="32"/>
          <w:lang w:eastAsia="zh-CN"/>
        </w:rPr>
        <w:t>开展</w:t>
      </w:r>
      <w:r>
        <w:rPr>
          <w:rFonts w:hint="eastAsia" w:ascii="Times New Roman" w:hAnsi="Times New Roman" w:eastAsia="仿宋_GB2312" w:cs="Times New Roman"/>
          <w:spacing w:val="0"/>
          <w:sz w:val="32"/>
          <w:szCs w:val="32"/>
        </w:rPr>
        <w:t>多时间点ctDNA-MRD动态监测，</w:t>
      </w:r>
      <w:r>
        <w:rPr>
          <w:rFonts w:ascii="Times New Roman" w:hAnsi="Times New Roman" w:eastAsia="仿宋_GB2312" w:cs="Times New Roman"/>
          <w:spacing w:val="0"/>
          <w:sz w:val="32"/>
          <w:szCs w:val="32"/>
        </w:rPr>
        <w:t>绘制治疗过程中的肿瘤克隆演化图谱，构建可用于早期疗效评估与复发风险预警的预测模型</w:t>
      </w:r>
      <w:r>
        <w:rPr>
          <w:rFonts w:hint="eastAsia" w:ascii="Times New Roman" w:hAnsi="Times New Roman" w:eastAsia="仿宋_GB2312" w:cs="Times New Roman"/>
          <w:spacing w:val="0"/>
          <w:sz w:val="32"/>
          <w:szCs w:val="32"/>
        </w:rPr>
        <w:t>；利用基因组学与表观组学分析技术，</w:t>
      </w:r>
      <w:r>
        <w:rPr>
          <w:rFonts w:ascii="Times New Roman" w:hAnsi="Times New Roman" w:eastAsia="仿宋_GB2312" w:cs="Times New Roman"/>
          <w:spacing w:val="0"/>
          <w:sz w:val="32"/>
          <w:szCs w:val="32"/>
        </w:rPr>
        <w:t>系统解析关键基因突变协同介导放射抵抗</w:t>
      </w:r>
      <w:r>
        <w:rPr>
          <w:rFonts w:hint="eastAsia" w:ascii="Times New Roman" w:hAnsi="Times New Roman" w:eastAsia="仿宋_GB2312" w:cs="Times New Roman"/>
          <w:spacing w:val="0"/>
          <w:sz w:val="32"/>
          <w:szCs w:val="32"/>
        </w:rPr>
        <w:t>、化疗耐药</w:t>
      </w:r>
      <w:r>
        <w:rPr>
          <w:rFonts w:ascii="Times New Roman" w:hAnsi="Times New Roman" w:eastAsia="仿宋_GB2312" w:cs="Times New Roman"/>
          <w:spacing w:val="0"/>
          <w:sz w:val="32"/>
          <w:szCs w:val="32"/>
        </w:rPr>
        <w:t>与免疫逃逸的分子</w:t>
      </w:r>
      <w:r>
        <w:rPr>
          <w:rFonts w:hint="eastAsia" w:ascii="Times New Roman" w:hAnsi="Times New Roman" w:eastAsia="仿宋_GB2312" w:cs="Times New Roman"/>
          <w:spacing w:val="0"/>
          <w:sz w:val="32"/>
          <w:szCs w:val="32"/>
        </w:rPr>
        <w:t>靶标，明确慢性应激、肠道微生物等对肿瘤微环境免疫细胞功能的影响，探讨</w:t>
      </w:r>
      <w:r>
        <w:rPr>
          <w:rFonts w:ascii="Times New Roman" w:hAnsi="Times New Roman" w:eastAsia="仿宋_GB2312" w:cs="Times New Roman"/>
          <w:spacing w:val="0"/>
          <w:sz w:val="32"/>
          <w:szCs w:val="32"/>
        </w:rPr>
        <w:t>放疗、化疗与免疫联合治疗</w:t>
      </w:r>
      <w:r>
        <w:rPr>
          <w:rFonts w:hint="eastAsia" w:ascii="Times New Roman" w:hAnsi="Times New Roman" w:eastAsia="仿宋_GB2312" w:cs="Times New Roman"/>
          <w:spacing w:val="0"/>
          <w:sz w:val="32"/>
          <w:szCs w:val="32"/>
        </w:rPr>
        <w:t>作用靶向增敏新策略。</w:t>
      </w:r>
    </w:p>
    <w:p w14:paraId="4017A5F9">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形成基于ctDNA-MRD动态监测的疗效预测与复发预警新方案1套；形成增敏治疗方案1个。</w:t>
      </w:r>
    </w:p>
    <w:p w14:paraId="376FE66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39</w:t>
      </w:r>
      <w:r>
        <w:rPr>
          <w:rFonts w:ascii="Times New Roman" w:hAnsi="Times New Roman" w:eastAsia="仿宋_GB2312" w:cs="Times New Roman"/>
          <w:b/>
          <w:bCs/>
          <w:spacing w:val="0"/>
          <w:sz w:val="32"/>
          <w:szCs w:val="32"/>
        </w:rPr>
        <w:t>.</w:t>
      </w:r>
      <w:r>
        <w:rPr>
          <w:rFonts w:ascii="Times New Roman" w:hAnsi="Times New Roman" w:eastAsia="仿宋_GB2312" w:cs="Times New Roman"/>
          <w:b/>
          <w:spacing w:val="0"/>
          <w:sz w:val="32"/>
          <w:szCs w:val="32"/>
        </w:rPr>
        <w:t>肿瘤诊疗AI大模型构建与智能决策</w:t>
      </w:r>
      <w:r>
        <w:rPr>
          <w:rFonts w:ascii="Times New Roman" w:hAnsi="Times New Roman" w:eastAsia="仿宋_GB2312" w:cs="Times New Roman"/>
          <w:spacing w:val="0"/>
          <w:sz w:val="32"/>
          <w:szCs w:val="32"/>
        </w:rPr>
        <w:t>（申报学科代码1选择</w:t>
      </w:r>
      <w:r>
        <w:rPr>
          <w:rFonts w:hint="eastAsia" w:ascii="Times New Roman" w:hAnsi="Times New Roman" w:eastAsia="仿宋_GB2312" w:cs="Times New Roman"/>
          <w:bCs/>
          <w:spacing w:val="0"/>
          <w:sz w:val="32"/>
          <w:szCs w:val="32"/>
        </w:rPr>
        <w:t>H</w:t>
      </w:r>
      <w:r>
        <w:rPr>
          <w:rFonts w:ascii="Times New Roman" w:hAnsi="Times New Roman" w:eastAsia="仿宋_GB2312" w:cs="Times New Roman"/>
          <w:bCs/>
          <w:spacing w:val="0"/>
          <w:sz w:val="32"/>
          <w:szCs w:val="32"/>
        </w:rPr>
        <w:t>16</w:t>
      </w:r>
      <w:r>
        <w:rPr>
          <w:rFonts w:hint="eastAsia" w:ascii="Times New Roman" w:hAnsi="Times New Roman" w:eastAsia="仿宋_GB2312" w:cs="Times New Roman"/>
          <w:bCs/>
          <w:spacing w:val="0"/>
          <w:sz w:val="32"/>
          <w:szCs w:val="32"/>
        </w:rPr>
        <w:t>、</w:t>
      </w:r>
      <w:r>
        <w:rPr>
          <w:rFonts w:ascii="Times New Roman" w:hAnsi="Times New Roman" w:eastAsia="仿宋_GB2312" w:cs="Times New Roman"/>
          <w:bCs/>
          <w:spacing w:val="0"/>
          <w:sz w:val="32"/>
          <w:szCs w:val="32"/>
        </w:rPr>
        <w:t>H18</w:t>
      </w:r>
      <w:r>
        <w:rPr>
          <w:rFonts w:ascii="Times New Roman" w:hAnsi="Times New Roman" w:eastAsia="仿宋_GB2312" w:cs="Times New Roman"/>
          <w:spacing w:val="0"/>
          <w:sz w:val="32"/>
          <w:szCs w:val="32"/>
        </w:rPr>
        <w:t>的下属代码）</w:t>
      </w:r>
    </w:p>
    <w:p w14:paraId="1E5905BC">
      <w:pPr>
        <w:keepNext w:val="0"/>
        <w:keepLines w:val="0"/>
        <w:pageBreakBefore w:val="0"/>
        <w:widowControl w:val="0"/>
        <w:kinsoku/>
        <w:wordWrap/>
        <w:overflowPunct/>
        <w:topLinePunct w:val="0"/>
        <w:bidi w:val="0"/>
        <w:snapToGrid/>
        <w:spacing w:line="600" w:lineRule="exact"/>
        <w:ind w:firstLine="643" w:firstLineChars="200"/>
        <w:textAlignment w:val="baseline"/>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聚焦</w:t>
      </w:r>
      <w:r>
        <w:rPr>
          <w:rFonts w:ascii="Times New Roman" w:hAnsi="Times New Roman" w:eastAsia="仿宋_GB2312" w:cs="Times New Roman"/>
          <w:spacing w:val="0"/>
          <w:sz w:val="32"/>
          <w:szCs w:val="32"/>
        </w:rPr>
        <w:t>肿瘤</w:t>
      </w:r>
      <w:r>
        <w:rPr>
          <w:rFonts w:hint="eastAsia" w:ascii="Times New Roman" w:hAnsi="Times New Roman" w:eastAsia="仿宋_GB2312" w:cs="Times New Roman"/>
          <w:spacing w:val="0"/>
          <w:sz w:val="32"/>
          <w:szCs w:val="32"/>
        </w:rPr>
        <w:t>诊疗</w:t>
      </w:r>
      <w:r>
        <w:rPr>
          <w:rFonts w:ascii="Times New Roman" w:hAnsi="Times New Roman" w:eastAsia="仿宋_GB2312" w:cs="Times New Roman"/>
          <w:spacing w:val="0"/>
          <w:sz w:val="32"/>
          <w:szCs w:val="32"/>
        </w:rPr>
        <w:t>决策困难</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整合挖掘肿瘤患者的医学影像、电子病历及基因组学等多模态数据，构建适用于我国肿瘤诊疗场景的AI大模型</w:t>
      </w:r>
      <w:r>
        <w:rPr>
          <w:rFonts w:hint="eastAsia" w:ascii="Times New Roman" w:hAnsi="Times New Roman" w:eastAsia="仿宋_GB2312" w:cs="Times New Roman"/>
          <w:spacing w:val="0"/>
          <w:sz w:val="32"/>
          <w:szCs w:val="32"/>
        </w:rPr>
        <w:t>；构建肿瘤治疗决策支持智能体、靶向治疗疗效预测模型，开展多步骤推理和动态工具选择研究，为实现治疗前精准患者分层及联合干预策略提供依据；</w:t>
      </w:r>
      <w:r>
        <w:rPr>
          <w:rFonts w:ascii="Times New Roman" w:hAnsi="Times New Roman" w:eastAsia="仿宋_GB2312" w:cs="Times New Roman"/>
          <w:spacing w:val="0"/>
          <w:sz w:val="32"/>
          <w:szCs w:val="32"/>
        </w:rPr>
        <w:t>采用多模态空间组学、多重空间生物成像及机器学习技术，系统解析肿瘤的时空演化规律，识别新的相关治疗靶点</w:t>
      </w:r>
      <w:r>
        <w:rPr>
          <w:rFonts w:hint="eastAsia" w:ascii="Times New Roman" w:hAnsi="Times New Roman" w:eastAsia="仿宋_GB2312" w:cs="Times New Roman"/>
          <w:spacing w:val="0"/>
          <w:sz w:val="32"/>
          <w:szCs w:val="32"/>
        </w:rPr>
        <w:t>。</w:t>
      </w:r>
    </w:p>
    <w:p w14:paraId="253D5B8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构建适用于</w:t>
      </w:r>
      <w:r>
        <w:rPr>
          <w:rFonts w:hint="eastAsia" w:ascii="Times New Roman" w:hAnsi="Times New Roman" w:eastAsia="仿宋_GB2312" w:cs="Times New Roman"/>
          <w:spacing w:val="0"/>
          <w:sz w:val="32"/>
          <w:szCs w:val="32"/>
          <w:lang w:eastAsia="zh-CN"/>
        </w:rPr>
        <w:t>我</w:t>
      </w:r>
      <w:r>
        <w:rPr>
          <w:rFonts w:hint="eastAsia" w:ascii="Times New Roman" w:hAnsi="Times New Roman" w:eastAsia="仿宋_GB2312" w:cs="Times New Roman"/>
          <w:spacing w:val="0"/>
          <w:sz w:val="32"/>
          <w:szCs w:val="32"/>
        </w:rPr>
        <w:t>国诊疗现状的肿瘤治疗决策辅助人工智能大模型1套；构建大规模、高质量肿瘤诊疗数据集1套，≥100万人次；构建“分子表达</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影像特征</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病理响应”的多模态可视化预测模型1个；构建基于多模态融合AI的肿瘤新辅助疗效精准预测模型1个；建立疗效预测与分层模型1个，形成可用于临床评估的管理指标2</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 xml:space="preserve">3个。 </w:t>
      </w:r>
    </w:p>
    <w:p w14:paraId="6E93CE1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Cs/>
          <w:color w:val="FF0000"/>
          <w:spacing w:val="0"/>
          <w:sz w:val="32"/>
          <w:szCs w:val="32"/>
        </w:rPr>
      </w:pPr>
      <w:r>
        <w:rPr>
          <w:rFonts w:hint="eastAsia" w:ascii="Times New Roman" w:hAnsi="Times New Roman" w:eastAsia="仿宋_GB2312" w:cs="Times New Roman"/>
          <w:b/>
          <w:bCs/>
          <w:spacing w:val="0"/>
          <w:sz w:val="32"/>
          <w:szCs w:val="32"/>
        </w:rPr>
        <w:t>40</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肿瘤耐药标志物及治疗靶点发现</w:t>
      </w:r>
      <w:r>
        <w:rPr>
          <w:rFonts w:ascii="Times New Roman" w:hAnsi="Times New Roman" w:eastAsia="仿宋_GB2312" w:cs="Times New Roman"/>
          <w:bCs/>
          <w:spacing w:val="0"/>
          <w:sz w:val="32"/>
          <w:szCs w:val="32"/>
        </w:rPr>
        <w:t>（申报学科代码1选择 H16的下属代码）</w:t>
      </w:r>
      <w:r>
        <w:rPr>
          <w:rFonts w:ascii="Times New Roman" w:hAnsi="Times New Roman" w:eastAsia="仿宋_GB2312" w:cs="Times New Roman"/>
          <w:b/>
          <w:bCs/>
          <w:spacing w:val="0"/>
          <w:sz w:val="32"/>
          <w:szCs w:val="32"/>
        </w:rPr>
        <w:t xml:space="preserve"> </w:t>
      </w:r>
    </w:p>
    <w:p w14:paraId="3E443B27">
      <w:pPr>
        <w:keepNext w:val="0"/>
        <w:keepLines w:val="0"/>
        <w:pageBreakBefore w:val="0"/>
        <w:widowControl w:val="0"/>
        <w:kinsoku/>
        <w:wordWrap/>
        <w:overflowPunct/>
        <w:topLinePunct w:val="0"/>
        <w:bidi w:val="0"/>
        <w:snapToGrid/>
        <w:spacing w:before="0" w:line="600" w:lineRule="exact"/>
        <w:ind w:firstLine="643" w:firstLineChars="200"/>
        <w:textAlignment w:val="baseline"/>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针对</w:t>
      </w:r>
      <w:r>
        <w:rPr>
          <w:rFonts w:ascii="Times New Roman" w:hAnsi="Times New Roman" w:eastAsia="仿宋_GB2312" w:cs="Times New Roman"/>
          <w:spacing w:val="0"/>
          <w:sz w:val="32"/>
          <w:szCs w:val="32"/>
        </w:rPr>
        <w:t>肿瘤耐药及放疗抵抗</w:t>
      </w:r>
      <w:r>
        <w:rPr>
          <w:rFonts w:hint="eastAsia" w:ascii="Times New Roman" w:hAnsi="Times New Roman" w:eastAsia="仿宋_GB2312" w:cs="Times New Roman"/>
          <w:spacing w:val="0"/>
          <w:sz w:val="32"/>
          <w:szCs w:val="32"/>
        </w:rPr>
        <w:t>的临床问题，采用临床队列与多组学深度整合的研究策略，筛选生物标志物，探讨替代性供血途径、线粒体</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铁死亡激活相关通路、</w:t>
      </w:r>
      <w:r>
        <w:rPr>
          <w:rFonts w:ascii="Times New Roman" w:hAnsi="Times New Roman" w:eastAsia="仿宋_GB2312" w:cs="Times New Roman"/>
          <w:spacing w:val="0"/>
          <w:sz w:val="32"/>
          <w:szCs w:val="32"/>
        </w:rPr>
        <w:t>染色体外环状DNA</w:t>
      </w:r>
      <w:r>
        <w:rPr>
          <w:rFonts w:hint="eastAsia" w:ascii="Times New Roman" w:hAnsi="Times New Roman" w:eastAsia="仿宋_GB2312" w:cs="Times New Roman"/>
          <w:spacing w:val="0"/>
          <w:sz w:val="32"/>
          <w:szCs w:val="32"/>
        </w:rPr>
        <w:t>、新型离子通道等介导肿瘤治疗耐药中的作用机制，开发新型潜在治疗靶点，开展药物研发和药物敏感性筛查，</w:t>
      </w:r>
      <w:r>
        <w:rPr>
          <w:rFonts w:ascii="Times New Roman" w:hAnsi="Times New Roman" w:eastAsia="仿宋_GB2312" w:cs="Times New Roman"/>
          <w:spacing w:val="0"/>
          <w:sz w:val="32"/>
          <w:szCs w:val="32"/>
        </w:rPr>
        <w:t>为肿瘤耐药及放疗抵抗提供新型</w:t>
      </w:r>
      <w:r>
        <w:rPr>
          <w:rFonts w:hint="eastAsia" w:ascii="Times New Roman" w:hAnsi="Times New Roman" w:eastAsia="仿宋_GB2312" w:cs="Times New Roman"/>
          <w:spacing w:val="0"/>
          <w:sz w:val="32"/>
          <w:szCs w:val="32"/>
        </w:rPr>
        <w:t>诊疗</w:t>
      </w:r>
      <w:r>
        <w:rPr>
          <w:rFonts w:ascii="Times New Roman" w:hAnsi="Times New Roman" w:eastAsia="仿宋_GB2312" w:cs="Times New Roman"/>
          <w:spacing w:val="0"/>
          <w:sz w:val="32"/>
          <w:szCs w:val="32"/>
        </w:rPr>
        <w:t>生物标志与干预策略</w:t>
      </w:r>
      <w:r>
        <w:rPr>
          <w:rFonts w:hint="eastAsia" w:ascii="Times New Roman" w:hAnsi="Times New Roman" w:eastAsia="仿宋_GB2312" w:cs="Times New Roman"/>
          <w:spacing w:val="0"/>
          <w:sz w:val="32"/>
          <w:szCs w:val="32"/>
        </w:rPr>
        <w:t>。</w:t>
      </w:r>
    </w:p>
    <w:p w14:paraId="5D5D286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制定肿瘤耐药相关临床指南或专家共识1项；研制高活性、高选择性及显著抗肿瘤效应的临床前候选药物1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2个；制定放疗抵抗治疗新策略1个；研发靶向耐药肿瘤的药物1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w:t>
      </w:r>
      <w:r>
        <w:rPr>
          <w:rFonts w:ascii="Times New Roman" w:hAnsi="Times New Roman" w:eastAsia="仿宋_GB2312" w:cs="Times New Roman"/>
          <w:spacing w:val="0"/>
          <w:sz w:val="32"/>
          <w:szCs w:val="32"/>
        </w:rPr>
        <w:t>筛选逆转</w:t>
      </w:r>
      <w:r>
        <w:rPr>
          <w:rFonts w:hint="eastAsia" w:ascii="Times New Roman" w:hAnsi="Times New Roman" w:eastAsia="仿宋_GB2312" w:cs="Times New Roman"/>
          <w:spacing w:val="0"/>
          <w:sz w:val="32"/>
          <w:szCs w:val="32"/>
        </w:rPr>
        <w:t>线粒体</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铁死亡</w:t>
      </w:r>
      <w:r>
        <w:rPr>
          <w:rFonts w:ascii="Times New Roman" w:hAnsi="Times New Roman" w:eastAsia="仿宋_GB2312" w:cs="Times New Roman"/>
          <w:spacing w:val="0"/>
          <w:sz w:val="32"/>
          <w:szCs w:val="32"/>
        </w:rPr>
        <w:t>耐药通路的小分子化合物</w:t>
      </w:r>
      <w:r>
        <w:rPr>
          <w:rFonts w:hint="eastAsia" w:ascii="Times New Roman" w:hAnsi="Times New Roman" w:eastAsia="仿宋_GB2312" w:cs="Times New Roman"/>
          <w:spacing w:val="0"/>
          <w:sz w:val="32"/>
          <w:szCs w:val="32"/>
        </w:rPr>
        <w:t>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w:t>
      </w:r>
    </w:p>
    <w:p w14:paraId="77A5CA6C">
      <w:pPr>
        <w:keepNext w:val="0"/>
        <w:keepLines w:val="0"/>
        <w:pageBreakBefore w:val="0"/>
        <w:widowControl w:val="0"/>
        <w:kinsoku/>
        <w:wordWrap/>
        <w:overflowPunct/>
        <w:topLinePunct w:val="0"/>
        <w:bidi w:val="0"/>
        <w:snapToGrid/>
        <w:spacing w:line="600" w:lineRule="exact"/>
        <w:ind w:left="0" w:leftChars="0" w:firstLine="662" w:firstLineChars="206"/>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41</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恶性消化道肿瘤精准诊疗新技术</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H16</w:t>
      </w:r>
      <w:r>
        <w:rPr>
          <w:rFonts w:ascii="Times New Roman" w:hAnsi="Times New Roman" w:eastAsia="仿宋_GB2312" w:cs="Times New Roman"/>
          <w:spacing w:val="0"/>
          <w:sz w:val="32"/>
          <w:szCs w:val="32"/>
        </w:rPr>
        <w:t>的下属代码）</w:t>
      </w:r>
    </w:p>
    <w:p w14:paraId="043A9143">
      <w:pPr>
        <w:keepNext w:val="0"/>
        <w:keepLines w:val="0"/>
        <w:pageBreakBefore w:val="0"/>
        <w:widowControl w:val="0"/>
        <w:kinsoku/>
        <w:wordWrap/>
        <w:overflowPunct/>
        <w:topLinePunct w:val="0"/>
        <w:bidi w:val="0"/>
        <w:snapToGrid/>
        <w:spacing w:line="600" w:lineRule="exact"/>
        <w:ind w:left="0" w:leftChars="0" w:firstLine="662" w:firstLineChars="206"/>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bCs/>
          <w:spacing w:val="0"/>
          <w:sz w:val="32"/>
          <w:szCs w:val="32"/>
        </w:rPr>
        <w:t>针对食</w:t>
      </w:r>
      <w:r>
        <w:rPr>
          <w:rFonts w:hint="eastAsia" w:ascii="Times New Roman" w:hAnsi="Times New Roman" w:eastAsia="仿宋_GB2312" w:cs="Times New Roman"/>
          <w:spacing w:val="0"/>
          <w:sz w:val="32"/>
          <w:szCs w:val="32"/>
        </w:rPr>
        <w:t xml:space="preserve">管癌、胃癌、结直肠癌等恶性消化道肿瘤缺乏精准诊疗预测方法的临床现状。通过整合单细胞及空间多组学技术，解析治疗过程中肿瘤微环境的时空演化规律，阐明关键应答因子和肿瘤微环境在肿瘤治疗有效性中的作用及机制；开发基于关键应答因子的双模态成像探针、纳米载体、以及预后预警标准，探索恶性消化道肿瘤精准诊断、治疗新技术与新策略。 </w:t>
      </w:r>
    </w:p>
    <w:p w14:paraId="21CFFB22">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研究目标</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spacing w:val="0"/>
          <w:sz w:val="32"/>
          <w:szCs w:val="32"/>
        </w:rPr>
        <w:t>制定化免联合放疗临床诊疗指南或者专家共识1项；建立涵盖影像、病理及液体活检指标的围手术期疗效评估及预后预警标准1套；形成针对个体化新辅助诊疗的数字化临床辅助决策方案1项；研发对恶性消化道肿瘤治疗具有协同增效作用的纳米制剂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w:t>
      </w:r>
      <w:r>
        <w:rPr>
          <w:rFonts w:ascii="Times New Roman" w:hAnsi="Times New Roman" w:eastAsia="仿宋_GB2312" w:cs="Times New Roman"/>
          <w:spacing w:val="0"/>
          <w:sz w:val="32"/>
          <w:szCs w:val="32"/>
        </w:rPr>
        <w:t>。</w:t>
      </w:r>
    </w:p>
    <w:p w14:paraId="0548D54D">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42</w:t>
      </w:r>
      <w:r>
        <w:rPr>
          <w:rFonts w:ascii="Times New Roman" w:hAnsi="Times New Roman" w:eastAsia="仿宋_GB2312" w:cs="Times New Roman"/>
          <w:b/>
          <w:bCs/>
          <w:spacing w:val="0"/>
          <w:sz w:val="32"/>
          <w:szCs w:val="32"/>
        </w:rPr>
        <w:t>.</w:t>
      </w:r>
      <w:r>
        <w:rPr>
          <w:rFonts w:hint="eastAsia" w:ascii="Times New Roman" w:hAnsi="Times New Roman" w:eastAsia="仿宋_GB2312" w:cs="Times New Roman"/>
          <w:b/>
          <w:bCs/>
          <w:spacing w:val="0"/>
          <w:sz w:val="32"/>
          <w:szCs w:val="32"/>
        </w:rPr>
        <w:t>肿瘤发生转移与靶向治疗新技术</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H1</w:t>
      </w:r>
      <w:r>
        <w:rPr>
          <w:rFonts w:hint="eastAsia" w:ascii="Times New Roman" w:hAnsi="Times New Roman" w:eastAsia="仿宋_GB2312" w:cs="Times New Roman"/>
          <w:bCs/>
          <w:spacing w:val="0"/>
          <w:sz w:val="32"/>
          <w:szCs w:val="32"/>
        </w:rPr>
        <w:t>6</w:t>
      </w:r>
      <w:r>
        <w:rPr>
          <w:rFonts w:ascii="Times New Roman" w:hAnsi="Times New Roman" w:eastAsia="仿宋_GB2312" w:cs="Times New Roman"/>
          <w:spacing w:val="0"/>
          <w:sz w:val="32"/>
          <w:szCs w:val="32"/>
        </w:rPr>
        <w:t>的下属代码）</w:t>
      </w:r>
    </w:p>
    <w:p w14:paraId="769E2A0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聚焦恶性肿瘤高复发转移、预后差并发症多的临床现状，采用临床与基础研究相结合的策略，探究恶性肿瘤转移的调控机制，寻找肿瘤干细胞调控作用及干预靶点；构建恶性肿瘤转移模型，开发小分子抑制剂等干预策略，并进行临床转化研究。</w:t>
      </w:r>
    </w:p>
    <w:p w14:paraId="00BAFB9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等线" w:cs="Times New Roman"/>
          <w:spacing w:val="0"/>
          <w:sz w:val="21"/>
          <w:szCs w:val="2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构建恶性肿瘤预后精准预测风险模型1个；获得具有临床转化潜能的小分子抑制剂2个</w:t>
      </w:r>
      <w:r>
        <w:rPr>
          <w:rFonts w:ascii="Times New Roman" w:hAnsi="Times New Roman" w:eastAsia="仿宋_GB2312" w:cs="Times New Roman"/>
          <w:spacing w:val="0"/>
          <w:sz w:val="32"/>
          <w:szCs w:val="32"/>
        </w:rPr>
        <w:t>。</w:t>
      </w:r>
    </w:p>
    <w:p w14:paraId="4E32B00D">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43.黑色素瘤的热带爪蛙模型体系构建与治疗转化研究</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H1</w:t>
      </w:r>
      <w:r>
        <w:rPr>
          <w:rFonts w:hint="eastAsia" w:ascii="Times New Roman" w:hAnsi="Times New Roman" w:eastAsia="仿宋_GB2312" w:cs="Times New Roman"/>
          <w:bCs/>
          <w:spacing w:val="0"/>
          <w:sz w:val="32"/>
          <w:szCs w:val="32"/>
        </w:rPr>
        <w:t>6</w:t>
      </w:r>
      <w:r>
        <w:rPr>
          <w:rFonts w:ascii="Times New Roman" w:hAnsi="Times New Roman" w:eastAsia="仿宋_GB2312" w:cs="Times New Roman"/>
          <w:spacing w:val="0"/>
          <w:sz w:val="32"/>
          <w:szCs w:val="32"/>
        </w:rPr>
        <w:t>的下属代码）</w:t>
      </w:r>
    </w:p>
    <w:p w14:paraId="75F4555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聚焦黑色素瘤临床关键的“原位</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侵袭”转化窗口，采用基因编辑、转基因等技术，对标不同演进阶段临床表型，构建热带爪蛙模型；结合表观多组学和单细胞等技术，研究黑色素瘤发生、发展、转移、去分化和异质性的分子机制，开发有效的治疗靶点，为阻断黑色素瘤进展提供精准干预策略，建立临床前高通量药物测试体系。</w:t>
      </w:r>
    </w:p>
    <w:p w14:paraId="1B718F34">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等线" w:cs="Times New Roman"/>
          <w:spacing w:val="0"/>
          <w:sz w:val="21"/>
          <w:szCs w:val="2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构建能够模拟人类黑色素瘤发生、发展及转移过程的热带爪蛙黑色素瘤模型5种以上；发现疾病进展相关的新靶标1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2个；完成临床样本的验证50例以上。</w:t>
      </w:r>
    </w:p>
    <w:p w14:paraId="439BC45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44</w:t>
      </w:r>
      <w:r>
        <w:rPr>
          <w:rFonts w:ascii="Times New Roman" w:hAnsi="Times New Roman" w:eastAsia="仿宋_GB2312" w:cs="Times New Roman"/>
          <w:b/>
          <w:bCs/>
          <w:spacing w:val="0"/>
          <w:sz w:val="32"/>
          <w:szCs w:val="32"/>
        </w:rPr>
        <w:t>.乳腺癌的</w:t>
      </w:r>
      <w:r>
        <w:rPr>
          <w:rFonts w:hint="eastAsia" w:ascii="Times New Roman" w:hAnsi="Times New Roman" w:eastAsia="仿宋_GB2312" w:cs="Times New Roman"/>
          <w:b/>
          <w:bCs/>
          <w:spacing w:val="0"/>
          <w:sz w:val="32"/>
          <w:szCs w:val="32"/>
        </w:rPr>
        <w:t>早期</w:t>
      </w:r>
      <w:r>
        <w:rPr>
          <w:rFonts w:ascii="Times New Roman" w:hAnsi="Times New Roman" w:eastAsia="仿宋_GB2312" w:cs="Times New Roman"/>
          <w:b/>
          <w:bCs/>
          <w:spacing w:val="0"/>
          <w:sz w:val="32"/>
          <w:szCs w:val="32"/>
        </w:rPr>
        <w:t>精准诊断</w:t>
      </w:r>
      <w:r>
        <w:rPr>
          <w:rFonts w:hint="eastAsia" w:ascii="Times New Roman" w:hAnsi="Times New Roman" w:eastAsia="仿宋_GB2312" w:cs="Times New Roman"/>
          <w:b/>
          <w:bCs/>
          <w:spacing w:val="0"/>
          <w:sz w:val="32"/>
          <w:szCs w:val="32"/>
        </w:rPr>
        <w:t>新</w:t>
      </w:r>
      <w:r>
        <w:rPr>
          <w:rFonts w:ascii="Times New Roman" w:hAnsi="Times New Roman" w:eastAsia="仿宋_GB2312" w:cs="Times New Roman"/>
          <w:b/>
          <w:bCs/>
          <w:spacing w:val="0"/>
          <w:sz w:val="32"/>
          <w:szCs w:val="32"/>
        </w:rPr>
        <w:t>策略</w:t>
      </w:r>
      <w:r>
        <w:rPr>
          <w:rFonts w:ascii="Times New Roman" w:hAnsi="Times New Roman" w:eastAsia="仿宋_GB2312" w:cs="Times New Roman"/>
          <w:spacing w:val="0"/>
          <w:sz w:val="32"/>
          <w:szCs w:val="32"/>
        </w:rPr>
        <w:t>（申报学科代码1选择H</w:t>
      </w:r>
      <w:r>
        <w:rPr>
          <w:rFonts w:hint="eastAsia" w:ascii="Times New Roman" w:hAnsi="Times New Roman" w:eastAsia="仿宋_GB2312" w:cs="Times New Roman"/>
          <w:spacing w:val="0"/>
          <w:sz w:val="32"/>
          <w:szCs w:val="32"/>
        </w:rPr>
        <w:t>16</w:t>
      </w:r>
      <w:r>
        <w:rPr>
          <w:rFonts w:ascii="Times New Roman" w:hAnsi="Times New Roman" w:eastAsia="仿宋_GB2312" w:cs="Times New Roman"/>
          <w:spacing w:val="0"/>
          <w:sz w:val="32"/>
          <w:szCs w:val="32"/>
        </w:rPr>
        <w:t>的下属代码）</w:t>
      </w:r>
    </w:p>
    <w:p w14:paraId="29A724F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ascii="Times New Roman" w:hAnsi="Times New Roman" w:eastAsia="仿宋_GB2312" w:cs="Times New Roman"/>
          <w:b/>
          <w:bCs/>
          <w:spacing w:val="0"/>
          <w:sz w:val="32"/>
          <w:szCs w:val="32"/>
        </w:rPr>
        <w:t>研究内容：</w:t>
      </w:r>
      <w:r>
        <w:rPr>
          <w:rFonts w:ascii="Times New Roman" w:hAnsi="Times New Roman" w:eastAsia="仿宋_GB2312" w:cs="Times New Roman"/>
          <w:spacing w:val="0"/>
          <w:sz w:val="32"/>
          <w:szCs w:val="32"/>
        </w:rPr>
        <w:t>针对乳腺癌早期</w:t>
      </w:r>
      <w:r>
        <w:rPr>
          <w:rFonts w:hint="eastAsia" w:ascii="Times New Roman" w:hAnsi="Times New Roman" w:eastAsia="仿宋_GB2312" w:cs="Times New Roman"/>
          <w:spacing w:val="0"/>
          <w:sz w:val="32"/>
          <w:szCs w:val="32"/>
        </w:rPr>
        <w:t>诊断</w:t>
      </w:r>
      <w:r>
        <w:rPr>
          <w:rFonts w:ascii="Times New Roman" w:hAnsi="Times New Roman" w:eastAsia="仿宋_GB2312" w:cs="Times New Roman"/>
          <w:spacing w:val="0"/>
          <w:sz w:val="32"/>
          <w:szCs w:val="32"/>
        </w:rPr>
        <w:t>困难的临床</w:t>
      </w:r>
      <w:r>
        <w:rPr>
          <w:rFonts w:hint="eastAsia" w:ascii="Times New Roman" w:hAnsi="Times New Roman" w:eastAsia="仿宋_GB2312" w:cs="Times New Roman"/>
          <w:spacing w:val="0"/>
          <w:sz w:val="32"/>
          <w:szCs w:val="32"/>
        </w:rPr>
        <w:t>问题</w:t>
      </w:r>
      <w:r>
        <w:rPr>
          <w:rFonts w:ascii="Times New Roman" w:hAnsi="Times New Roman" w:eastAsia="仿宋_GB2312" w:cs="Times New Roman"/>
          <w:spacing w:val="0"/>
          <w:sz w:val="32"/>
          <w:szCs w:val="32"/>
        </w:rPr>
        <w:t>，</w:t>
      </w:r>
      <w:r>
        <w:rPr>
          <w:rFonts w:hint="eastAsia" w:ascii="Times New Roman" w:hAnsi="Times New Roman" w:eastAsia="仿宋_GB2312" w:cs="Times New Roman"/>
          <w:spacing w:val="0"/>
          <w:sz w:val="32"/>
          <w:szCs w:val="32"/>
        </w:rPr>
        <w:t>采用临床与基础研究相结合的策略，通过多组学检测与机器学习等技术手段，研究</w:t>
      </w:r>
      <w:r>
        <w:rPr>
          <w:rFonts w:ascii="Times New Roman" w:hAnsi="Times New Roman" w:eastAsia="仿宋_GB2312" w:cs="Times New Roman"/>
          <w:spacing w:val="0"/>
          <w:sz w:val="32"/>
          <w:szCs w:val="32"/>
        </w:rPr>
        <w:t>O-糖基化修饰</w:t>
      </w:r>
      <w:r>
        <w:rPr>
          <w:rFonts w:hint="eastAsia" w:ascii="Times New Roman" w:hAnsi="Times New Roman" w:eastAsia="仿宋_GB2312" w:cs="Times New Roman"/>
          <w:spacing w:val="0"/>
          <w:sz w:val="32"/>
          <w:szCs w:val="32"/>
        </w:rPr>
        <w:t>等表观遗传调控在</w:t>
      </w:r>
      <w:r>
        <w:rPr>
          <w:rFonts w:ascii="Times New Roman" w:hAnsi="Times New Roman" w:eastAsia="仿宋_GB2312" w:cs="Times New Roman"/>
          <w:spacing w:val="0"/>
          <w:sz w:val="32"/>
          <w:szCs w:val="32"/>
        </w:rPr>
        <w:t>乳腺癌发生发展</w:t>
      </w:r>
      <w:r>
        <w:rPr>
          <w:rFonts w:hint="eastAsia" w:ascii="Times New Roman" w:hAnsi="Times New Roman" w:eastAsia="仿宋_GB2312" w:cs="Times New Roman"/>
          <w:spacing w:val="0"/>
          <w:sz w:val="32"/>
          <w:szCs w:val="32"/>
        </w:rPr>
        <w:t>中</w:t>
      </w:r>
      <w:r>
        <w:rPr>
          <w:rFonts w:ascii="Times New Roman" w:hAnsi="Times New Roman" w:eastAsia="仿宋_GB2312" w:cs="Times New Roman"/>
          <w:spacing w:val="0"/>
          <w:sz w:val="32"/>
          <w:szCs w:val="32"/>
        </w:rPr>
        <w:t>的</w:t>
      </w:r>
      <w:r>
        <w:rPr>
          <w:rFonts w:hint="eastAsia" w:ascii="Times New Roman" w:hAnsi="Times New Roman" w:eastAsia="仿宋_GB2312" w:cs="Times New Roman"/>
          <w:spacing w:val="0"/>
          <w:sz w:val="32"/>
          <w:szCs w:val="32"/>
        </w:rPr>
        <w:t>作用</w:t>
      </w:r>
      <w:r>
        <w:rPr>
          <w:rFonts w:ascii="Times New Roman" w:hAnsi="Times New Roman" w:eastAsia="仿宋_GB2312" w:cs="Times New Roman"/>
          <w:spacing w:val="0"/>
          <w:sz w:val="32"/>
          <w:szCs w:val="32"/>
        </w:rPr>
        <w:t>，筛选</w:t>
      </w:r>
      <w:r>
        <w:rPr>
          <w:rFonts w:hint="eastAsia" w:ascii="Times New Roman" w:hAnsi="Times New Roman" w:eastAsia="仿宋_GB2312" w:cs="Times New Roman"/>
          <w:spacing w:val="0"/>
          <w:sz w:val="32"/>
          <w:szCs w:val="32"/>
        </w:rPr>
        <w:t>并</w:t>
      </w:r>
      <w:r>
        <w:rPr>
          <w:rFonts w:ascii="Times New Roman" w:hAnsi="Times New Roman" w:eastAsia="仿宋_GB2312" w:cs="Times New Roman"/>
          <w:spacing w:val="0"/>
          <w:sz w:val="32"/>
          <w:szCs w:val="32"/>
        </w:rPr>
        <w:t>验证O-糖基化修饰的关键靶点，为乳腺癌的精准诊断提供新的</w:t>
      </w:r>
      <w:r>
        <w:rPr>
          <w:rFonts w:hint="eastAsia" w:ascii="Times New Roman" w:hAnsi="Times New Roman" w:eastAsia="仿宋_GB2312" w:cs="Times New Roman"/>
          <w:spacing w:val="0"/>
          <w:sz w:val="32"/>
          <w:szCs w:val="32"/>
        </w:rPr>
        <w:t>科学</w:t>
      </w:r>
      <w:r>
        <w:rPr>
          <w:rFonts w:ascii="Times New Roman" w:hAnsi="Times New Roman" w:eastAsia="仿宋_GB2312" w:cs="Times New Roman"/>
          <w:spacing w:val="0"/>
          <w:sz w:val="32"/>
          <w:szCs w:val="32"/>
        </w:rPr>
        <w:t>依据。</w:t>
      </w:r>
    </w:p>
    <w:p w14:paraId="5A34CF46">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黑体" w:cs="Times New Roman"/>
          <w:spacing w:val="0"/>
          <w:sz w:val="32"/>
          <w:szCs w:val="32"/>
        </w:rPr>
      </w:pPr>
      <w:r>
        <w:rPr>
          <w:rFonts w:ascii="Times New Roman" w:hAnsi="Times New Roman" w:eastAsia="仿宋_GB2312" w:cs="Times New Roman"/>
          <w:b/>
          <w:bCs/>
          <w:spacing w:val="0"/>
          <w:sz w:val="32"/>
          <w:szCs w:val="32"/>
        </w:rPr>
        <w:t>研究目标：</w:t>
      </w:r>
      <w:r>
        <w:rPr>
          <w:rFonts w:ascii="Times New Roman" w:hAnsi="Times New Roman" w:eastAsia="仿宋_GB2312" w:cs="Times New Roman"/>
          <w:spacing w:val="0"/>
          <w:sz w:val="32"/>
          <w:szCs w:val="32"/>
        </w:rPr>
        <w:t>发现抑制乳腺癌O-糖基化修饰关键</w:t>
      </w:r>
      <w:r>
        <w:rPr>
          <w:rFonts w:hint="eastAsia" w:ascii="Times New Roman" w:hAnsi="Times New Roman" w:eastAsia="仿宋_GB2312" w:cs="Times New Roman"/>
          <w:spacing w:val="0"/>
          <w:sz w:val="32"/>
          <w:szCs w:val="32"/>
        </w:rPr>
        <w:t>靶标</w:t>
      </w:r>
      <w:r>
        <w:rPr>
          <w:rFonts w:ascii="Times New Roman" w:hAnsi="Times New Roman" w:eastAsia="仿宋_GB2312" w:cs="Times New Roman"/>
          <w:spacing w:val="0"/>
          <w:sz w:val="32"/>
          <w:szCs w:val="32"/>
        </w:rPr>
        <w:t>1</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2个</w:t>
      </w:r>
      <w:r>
        <w:rPr>
          <w:rFonts w:hint="eastAsia" w:ascii="Times New Roman" w:hAnsi="Times New Roman" w:eastAsia="仿宋_GB2312" w:cs="Times New Roman"/>
          <w:spacing w:val="0"/>
          <w:sz w:val="32"/>
          <w:szCs w:val="32"/>
        </w:rPr>
        <w:t>，</w:t>
      </w:r>
      <w:r>
        <w:rPr>
          <w:rFonts w:ascii="Times New Roman" w:hAnsi="Times New Roman" w:eastAsia="仿宋_GB2312" w:cs="Times New Roman"/>
          <w:spacing w:val="0"/>
          <w:sz w:val="32"/>
          <w:szCs w:val="32"/>
        </w:rPr>
        <w:t>研发乳腺癌早期诊断模型1</w:t>
      </w:r>
      <w:r>
        <w:rPr>
          <w:rFonts w:hint="eastAsia" w:ascii="Times New Roman" w:hAnsi="Times New Roman" w:eastAsia="仿宋_GB2312" w:cs="Times New Roman"/>
          <w:spacing w:val="0"/>
          <w:sz w:val="32"/>
          <w:szCs w:val="32"/>
          <w:lang w:eastAsia="zh-CN"/>
        </w:rPr>
        <w:t>—</w:t>
      </w:r>
      <w:r>
        <w:rPr>
          <w:rFonts w:ascii="Times New Roman" w:hAnsi="Times New Roman" w:eastAsia="仿宋_GB2312" w:cs="Times New Roman"/>
          <w:spacing w:val="0"/>
          <w:sz w:val="32"/>
          <w:szCs w:val="32"/>
        </w:rPr>
        <w:t>2个。</w:t>
      </w:r>
    </w:p>
    <w:p w14:paraId="062D26DD">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45.乳酸杆菌代谢调控消化道肿瘤免疫的新靶点和治疗新策略研究</w:t>
      </w:r>
      <w:r>
        <w:rPr>
          <w:rFonts w:hint="eastAsia" w:ascii="Times New Roman" w:hAnsi="Times New Roman" w:eastAsia="仿宋_GB2312" w:cs="Times New Roman"/>
          <w:spacing w:val="0"/>
          <w:sz w:val="32"/>
          <w:szCs w:val="32"/>
        </w:rPr>
        <w:t>（申报学科代码1选择H16的下属代码）</w:t>
      </w:r>
    </w:p>
    <w:p w14:paraId="4AED313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针对消化道肿瘤免疫检查点阻断疗法（ICB）响应率低的临床困境，基于“肠道菌群</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宿主免疫代谢”调控轴，利用临床队列研究、单细胞多组学技术及细菌基因编辑技术等前沿方法，解析乳酸杆菌及其代谢物对肿瘤微环境中免疫细胞表型的调控规律，阐明其增强消化道肿瘤ICB治疗疗效的核心分子机制；明确乳酸杆菌关键代谢物触发的下游信号通路，揭示其与ICB疗法协同增效的分子基础；验证菌群代谢相关靶点与消化道肿瘤患者病情进展、ICB治疗响应性的临床相关性，为消化道肿瘤免疫治疗增效提供理论依据与可行的临床转化方案。</w:t>
      </w:r>
    </w:p>
    <w:p w14:paraId="51201D25">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明确乳酸杆菌代谢调控消化道肿瘤免疫新靶标并鉴定免疫治疗候选增效剂1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2个；构建菌群代谢相关ICB疗效预测模型1个；建立消化道肿瘤ICB联合治疗新方案1个或参与制定相关评价标准1个。</w:t>
      </w:r>
    </w:p>
    <w:p w14:paraId="6523E89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46.靶向缺氧生态位逆转胶质母细胞瘤免疫治疗抵抗的新策略</w:t>
      </w:r>
      <w:r>
        <w:rPr>
          <w:rFonts w:hint="eastAsia" w:ascii="Times New Roman" w:hAnsi="Times New Roman" w:eastAsia="仿宋_GB2312" w:cs="Times New Roman"/>
          <w:spacing w:val="0"/>
          <w:sz w:val="32"/>
          <w:szCs w:val="32"/>
        </w:rPr>
        <w:t>（申请代码选择H16的下属代码）</w:t>
      </w:r>
    </w:p>
    <w:p w14:paraId="2DB83B65">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胶质母细胞瘤免疫治疗抵抗的临床难题，聚焦HIF-1α等缺氧生态位的核心信号，阐明其协同塑造免疫抑制微环境的分子靶点；构建全基因组CRISPR合成致死筛选平台，设计开发靶向新型小分子化合物，系统评估其在逆转免疫抑制、激活抗肿瘤免疫中的功效，为开发肿瘤缺氧“生态位靶向”的新型治疗策略提供依据。</w:t>
      </w:r>
    </w:p>
    <w:p w14:paraId="6010C7B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鉴定与缺氧适应及免疫抑制相关的新靶标2</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3个，获得靶向治疗的先导化合物3</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4个，形成靶向缺氧生态位的联合治疗方案1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2项。</w:t>
      </w:r>
    </w:p>
    <w:p w14:paraId="0C5A5104">
      <w:pPr>
        <w:keepNext w:val="0"/>
        <w:keepLines w:val="0"/>
        <w:pageBreakBefore w:val="0"/>
        <w:widowControl w:val="0"/>
        <w:kinsoku/>
        <w:wordWrap/>
        <w:overflowPunct/>
        <w:topLinePunct w:val="0"/>
        <w:autoSpaceDE/>
        <w:autoSpaceDN/>
        <w:bidi w:val="0"/>
        <w:adjustRightInd w:val="0"/>
        <w:snapToGrid/>
        <w:spacing w:before="0" w:line="600" w:lineRule="exact"/>
        <w:ind w:left="0" w:firstLine="627" w:firstLineChars="200"/>
        <w:jc w:val="left"/>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47.胃癌细胞衰老相关耐药新机制及纳米药物精准治疗靶点研究</w:t>
      </w:r>
      <w:r>
        <w:rPr>
          <w:rFonts w:hint="eastAsia" w:ascii="Times New Roman" w:hAnsi="Times New Roman" w:eastAsia="仿宋_GB2312" w:cs="Times New Roman"/>
          <w:kern w:val="0"/>
          <w:sz w:val="32"/>
          <w:szCs w:val="32"/>
          <w:lang w:val="en-US" w:eastAsia="zh-CN" w:bidi="ar-SA"/>
        </w:rPr>
        <w:t>（申请代码选择 H16的下属代码）</w:t>
      </w:r>
    </w:p>
    <w:p w14:paraId="21E0F379">
      <w:pPr>
        <w:keepNext w:val="0"/>
        <w:keepLines w:val="0"/>
        <w:pageBreakBefore w:val="0"/>
        <w:widowControl w:val="0"/>
        <w:kinsoku/>
        <w:wordWrap/>
        <w:overflowPunct/>
        <w:topLinePunct w:val="0"/>
        <w:autoSpaceDE/>
        <w:autoSpaceDN/>
        <w:bidi w:val="0"/>
        <w:adjustRightInd w:val="0"/>
        <w:snapToGrid/>
        <w:spacing w:before="0" w:line="600" w:lineRule="exact"/>
        <w:ind w:left="0" w:firstLine="627" w:firstLineChars="200"/>
        <w:jc w:val="left"/>
        <w:rPr>
          <w:rFonts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研究内容：</w:t>
      </w:r>
      <w:r>
        <w:rPr>
          <w:rFonts w:hint="eastAsia" w:ascii="Times New Roman" w:hAnsi="Times New Roman" w:eastAsia="仿宋_GB2312" w:cs="Times New Roman"/>
          <w:kern w:val="0"/>
          <w:sz w:val="32"/>
          <w:szCs w:val="32"/>
          <w:lang w:val="en-US" w:eastAsia="zh-CN" w:bidi="ar-SA"/>
        </w:rPr>
        <w:t>针对胃癌治疗中面临的细胞衰老相关耐药的临床瓶颈问题，从基因表达调控与肿瘤免疫微环境互作维度，揭示胃癌生长、细胞衰老与耐药的新机制，运用多组学技术筛选关键分子；挖掘新型靶向治疗药物及功能化纳米材料，构建高效纳米载药系统，提升药物治疗效率；阐明纳米药物的理化表征和分子作用机制，制定新型的胃癌靶向治疗策略，为临床转化提供理论依据与实践路径。</w:t>
      </w:r>
    </w:p>
    <w:p w14:paraId="1E4BAE18">
      <w:pPr>
        <w:keepNext w:val="0"/>
        <w:keepLines w:val="0"/>
        <w:pageBreakBefore w:val="0"/>
        <w:widowControl w:val="0"/>
        <w:kinsoku/>
        <w:wordWrap/>
        <w:overflowPunct/>
        <w:topLinePunct w:val="0"/>
        <w:autoSpaceDE/>
        <w:autoSpaceDN/>
        <w:bidi w:val="0"/>
        <w:adjustRightInd w:val="0"/>
        <w:snapToGrid/>
        <w:spacing w:before="0" w:line="600" w:lineRule="exact"/>
        <w:ind w:left="0" w:firstLine="627" w:firstLineChars="200"/>
        <w:jc w:val="left"/>
        <w:rPr>
          <w:rFonts w:ascii="Times New Roman" w:hAnsi="Times New Roman" w:eastAsia="仿宋_GB2312" w:cs="Times New Roman"/>
          <w:b/>
          <w:bCs/>
          <w:kern w:val="0"/>
          <w:sz w:val="32"/>
          <w:szCs w:val="32"/>
          <w:lang w:val="en-US" w:eastAsia="zh-CN" w:bidi="ar-SA"/>
        </w:rPr>
      </w:pPr>
      <w:r>
        <w:rPr>
          <w:rFonts w:hint="eastAsia" w:ascii="Times New Roman" w:hAnsi="Times New Roman" w:eastAsia="仿宋_GB2312" w:cs="Times New Roman"/>
          <w:b/>
          <w:bCs/>
          <w:kern w:val="0"/>
          <w:sz w:val="32"/>
          <w:szCs w:val="32"/>
          <w:lang w:val="en-US" w:eastAsia="zh-CN" w:bidi="ar-SA"/>
        </w:rPr>
        <w:t>研究目标：</w:t>
      </w:r>
      <w:r>
        <w:rPr>
          <w:rFonts w:hint="eastAsia" w:ascii="Times New Roman" w:hAnsi="Times New Roman" w:eastAsia="仿宋_GB2312" w:cs="Times New Roman"/>
          <w:kern w:val="0"/>
          <w:sz w:val="32"/>
          <w:szCs w:val="32"/>
          <w:lang w:val="en-US" w:eastAsia="zh-CN" w:bidi="ar-SA"/>
        </w:rPr>
        <w:t>筛选具有临床转化研究价值的胃癌细胞衰老相关耐药新靶标1—2个；研发胃癌细胞衰老相关靶点治疗性药物至少1种；提出基于纳米载药系统的胃癌靶向治疗策略1—2种。</w:t>
      </w:r>
    </w:p>
    <w:p w14:paraId="3ACB5343">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等线" w:cs="Times New Roman"/>
          <w:spacing w:val="0"/>
          <w:sz w:val="24"/>
          <w:szCs w:val="22"/>
        </w:rPr>
      </w:pPr>
      <w:r>
        <w:rPr>
          <w:rFonts w:hint="eastAsia" w:ascii="Times New Roman" w:hAnsi="Times New Roman" w:eastAsia="仿宋_GB2312" w:cs="Times New Roman"/>
          <w:b/>
          <w:bCs/>
          <w:spacing w:val="0"/>
          <w:sz w:val="32"/>
          <w:szCs w:val="32"/>
        </w:rPr>
        <w:t>48.基于人工智能的腹膜后肿瘤放射性粒子植入疗效预测关键技术研究</w:t>
      </w:r>
      <w:r>
        <w:rPr>
          <w:rFonts w:hint="eastAsia" w:ascii="Times New Roman" w:hAnsi="Times New Roman" w:eastAsia="仿宋_GB2312" w:cs="Times New Roman"/>
          <w:spacing w:val="0"/>
          <w:sz w:val="32"/>
          <w:szCs w:val="32"/>
        </w:rPr>
        <w:t xml:space="preserve">（申报学科代码1选择H16下属代码） </w:t>
      </w:r>
    </w:p>
    <w:p w14:paraId="7B045540">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腹膜后肿瘤放射性粒子植入治疗粒子植入误差大和术后剂量验证缺乏客观量化标准等问题，利用多方式引导和人工智能技术，探索CT影像及剂量学参数特征与靶区周边复发的关联机制，设计标准化术前手术规划、手术方式及精准剂量计算的方法体系，构建粒子植入治疗效果智能预测模型，并开展临床评价。</w:t>
      </w:r>
    </w:p>
    <w:p w14:paraId="7A38F12D">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等线" w:cs="Times New Roman"/>
          <w:spacing w:val="0"/>
          <w:sz w:val="24"/>
          <w:szCs w:val="2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建立标准化的腹膜后肿瘤放射性粒子植入影像预处理、特征提取与标注流程1套，形成高质量的多中心“影像</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临床</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疗效”关联数据库1个；筛选出可有效预测粒子植入术后疗效的核心影像组学及剂量学标志1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2个；形成粒子植入技术标准化全流程质控体系和个性化治疗的专家共识1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w:t>
      </w:r>
    </w:p>
    <w:p w14:paraId="736D172E">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49.针对肝脏局灶性病变的影像</w:t>
      </w:r>
      <w:r>
        <w:rPr>
          <w:rFonts w:hint="eastAsia" w:ascii="Times New Roman" w:hAnsi="Times New Roman" w:eastAsia="仿宋_GB2312" w:cs="Times New Roman"/>
          <w:b/>
          <w:bCs/>
          <w:spacing w:val="0"/>
          <w:sz w:val="32"/>
          <w:szCs w:val="32"/>
          <w:lang w:eastAsia="zh-CN"/>
        </w:rPr>
        <w:t>—</w:t>
      </w:r>
      <w:r>
        <w:rPr>
          <w:rFonts w:hint="eastAsia" w:ascii="Times New Roman" w:hAnsi="Times New Roman" w:eastAsia="仿宋_GB2312" w:cs="Times New Roman"/>
          <w:b/>
          <w:bCs/>
          <w:spacing w:val="0"/>
          <w:sz w:val="32"/>
          <w:szCs w:val="32"/>
        </w:rPr>
        <w:t>病理</w:t>
      </w:r>
      <w:r>
        <w:rPr>
          <w:rFonts w:hint="eastAsia" w:ascii="Times New Roman" w:hAnsi="Times New Roman" w:eastAsia="仿宋_GB2312" w:cs="Times New Roman"/>
          <w:b/>
          <w:bCs/>
          <w:spacing w:val="0"/>
          <w:sz w:val="32"/>
          <w:szCs w:val="32"/>
          <w:lang w:eastAsia="zh-CN"/>
        </w:rPr>
        <w:t>—</w:t>
      </w:r>
      <w:r>
        <w:rPr>
          <w:rFonts w:hint="eastAsia" w:ascii="Times New Roman" w:hAnsi="Times New Roman" w:eastAsia="仿宋_GB2312" w:cs="Times New Roman"/>
          <w:b/>
          <w:bCs/>
          <w:spacing w:val="0"/>
          <w:sz w:val="32"/>
          <w:szCs w:val="32"/>
        </w:rPr>
        <w:t>文本对齐基座模型构建与多中心验证</w:t>
      </w:r>
      <w:r>
        <w:rPr>
          <w:rFonts w:hint="eastAsia" w:ascii="Times New Roman" w:hAnsi="Times New Roman" w:eastAsia="仿宋_GB2312" w:cs="Times New Roman"/>
          <w:spacing w:val="0"/>
          <w:sz w:val="32"/>
          <w:szCs w:val="32"/>
        </w:rPr>
        <w:t>（申报学科代码1选择H18的下属代码）</w:t>
      </w:r>
    </w:p>
    <w:p w14:paraId="7EF8BB4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聚焦肝脏局灶性病变，构建融合肝脏MRI多序列影像、病理全切片图像、结构化影像报告、病理报告及电子病历文本的标准化多模态数据集；采用自监督预训练与跨模态对比学习策略，实现影像</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病理</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文本表征的深层语义对齐，开发多病种统一基座模型，实现自动化识别疾病、生成可解释性证据链及输出结构化诊断报告，并开展多中心外部验证与真实世界临床流程评估，形成规范化应用框架。</w:t>
      </w:r>
    </w:p>
    <w:p w14:paraId="24BA9CC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楷体" w:cs="Times New Roman"/>
          <w:spacing w:val="0"/>
          <w:sz w:val="28"/>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构建高质量、高标准肝脏多模态标准化数据集及质控规范1套；开发跨模态对齐基座模型1个，实现肝脏局灶性病变精准诊断；研发可部署的临床辅助诊断原型系统1套，通过多中心前瞻性真实世界数据评估模型泛化性与临床可用性。</w:t>
      </w:r>
    </w:p>
    <w:p w14:paraId="246F3877">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50.基于PET/CT影像ATN框架探讨中药治疗糖尿病的神经保护作用及评价改善认知功能障碍的疗效</w:t>
      </w:r>
      <w:r>
        <w:rPr>
          <w:rFonts w:hint="eastAsia" w:ascii="Times New Roman" w:hAnsi="Times New Roman" w:eastAsia="仿宋_GB2312" w:cs="Times New Roman"/>
          <w:spacing w:val="0"/>
          <w:sz w:val="32"/>
          <w:szCs w:val="32"/>
        </w:rPr>
        <w:t>（申报学科代码1选择H18下属代码）</w:t>
      </w:r>
    </w:p>
    <w:p w14:paraId="7CC09EAF">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围绕糖尿病认知功能障碍患者脑内Aβ沉积（A）、tau蛋白异常磷酸化（T）及神经退行性改变（N）早期识别困难的临床问题，构建基于PET/CT影像ATN框架的多模态多探针评价体系，解析中药通过靶向脑微血管内皮细胞、小胶质细胞及海马神经元交互网络，抑制神经炎症、减少海马神经元铁死亡、促进海马神经元突触可塑性的分子机制；系统评价中药干预对糖尿病认知功能障碍患者脑内Aβ沉积、tau蛋白磷酸化与神经退行性变的调控作用，为糖尿病认知功能障碍提供早期识别、精准干预及疗效评估的防治策略。</w:t>
      </w:r>
    </w:p>
    <w:p w14:paraId="2AD3BFD9">
      <w:pPr>
        <w:keepNext w:val="0"/>
        <w:keepLines w:val="0"/>
        <w:pageBreakBefore w:val="0"/>
        <w:widowControl w:val="0"/>
        <w:kinsoku/>
        <w:wordWrap/>
        <w:overflowPunct/>
        <w:topLinePunct w:val="0"/>
        <w:bidi w:val="0"/>
        <w:snapToGrid/>
        <w:spacing w:line="600" w:lineRule="exact"/>
        <w:ind w:firstLine="643" w:firstLineChars="200"/>
        <w:rPr>
          <w:rFonts w:hint="eastAsia"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建立基于影像ATN框架的中药治疗糖尿病认知功能障碍疗效预测模型1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2种；筛选中药调控Aβ/tau病理的关键新靶标1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w:t>
      </w:r>
    </w:p>
    <w:p w14:paraId="40DD46D3">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51.基于多重光学成像的急性肾损伤早期诊断技术研发</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w:t>
      </w:r>
      <w:r>
        <w:rPr>
          <w:rFonts w:hint="eastAsia" w:ascii="Times New Roman" w:hAnsi="Times New Roman" w:eastAsia="仿宋_GB2312" w:cs="Times New Roman"/>
          <w:bCs/>
          <w:spacing w:val="0"/>
          <w:sz w:val="32"/>
          <w:szCs w:val="32"/>
        </w:rPr>
        <w:t>20</w:t>
      </w:r>
      <w:r>
        <w:rPr>
          <w:rFonts w:ascii="Times New Roman" w:hAnsi="Times New Roman" w:eastAsia="仿宋_GB2312" w:cs="Times New Roman"/>
          <w:spacing w:val="0"/>
          <w:sz w:val="32"/>
          <w:szCs w:val="32"/>
        </w:rPr>
        <w:t>的下属代码）</w:t>
      </w:r>
    </w:p>
    <w:p w14:paraId="78EE028A">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spacing w:val="0"/>
          <w:sz w:val="32"/>
          <w:szCs w:val="32"/>
        </w:rPr>
      </w:pPr>
      <w:r>
        <w:rPr>
          <w:rFonts w:hint="eastAsia" w:ascii="Times New Roman" w:hAnsi="Times New Roman" w:eastAsia="仿宋_GB2312" w:cs="Times New Roman"/>
          <w:b/>
          <w:bCs/>
          <w:spacing w:val="0"/>
          <w:sz w:val="32"/>
          <w:szCs w:val="32"/>
        </w:rPr>
        <w:t>研究内容：</w:t>
      </w:r>
      <w:r>
        <w:rPr>
          <w:rFonts w:hint="eastAsia" w:ascii="Times New Roman" w:hAnsi="Times New Roman" w:eastAsia="仿宋_GB2312" w:cs="Times New Roman"/>
          <w:spacing w:val="0"/>
          <w:sz w:val="32"/>
          <w:szCs w:val="32"/>
        </w:rPr>
        <w:t>针对急性肾损伤早期诊断中的关键难题，采用多学科交叉的临床前沿诊断技术，整合潜在诊断标志物，研发精准靶向肾脏并可同步检测多种早期标志物的多重光学成像新技术，为构建急性肾损伤早期诊断体系提供新策略；综合运用细胞与活体成像、尿液及血液指标检测等方法，系统评估该技术的潜在应用价值，并通过荧光成像示踪炎症反应、氧化应激、细胞死亡、免疫反应等肾损伤分子进程，为临床急性肾损伤早期诊断提供新方法。</w:t>
      </w:r>
    </w:p>
    <w:p w14:paraId="18A25BAC">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b/>
          <w:bCs/>
          <w:spacing w:val="0"/>
          <w:sz w:val="32"/>
          <w:szCs w:val="32"/>
        </w:rPr>
      </w:pPr>
      <w:r>
        <w:rPr>
          <w:rFonts w:hint="eastAsia" w:ascii="Times New Roman" w:hAnsi="Times New Roman" w:eastAsia="仿宋_GB2312" w:cs="Times New Roman"/>
          <w:b/>
          <w:bCs/>
          <w:spacing w:val="0"/>
          <w:sz w:val="32"/>
          <w:szCs w:val="32"/>
        </w:rPr>
        <w:t>研究目标：</w:t>
      </w:r>
      <w:r>
        <w:rPr>
          <w:rFonts w:hint="eastAsia" w:ascii="Times New Roman" w:hAnsi="Times New Roman" w:eastAsia="仿宋_GB2312" w:cs="Times New Roman"/>
          <w:spacing w:val="0"/>
          <w:sz w:val="32"/>
          <w:szCs w:val="32"/>
        </w:rPr>
        <w:t>研发可同时检测两种及以上潜在早期标志物的光学传感器1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2件；建立急性肾损伤的早期诊断新方法1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2种。</w:t>
      </w:r>
    </w:p>
    <w:p w14:paraId="7E67B3CB">
      <w:pPr>
        <w:keepNext w:val="0"/>
        <w:keepLines w:val="0"/>
        <w:pageBreakBefore w:val="0"/>
        <w:widowControl w:val="0"/>
        <w:kinsoku/>
        <w:wordWrap/>
        <w:overflowPunct/>
        <w:topLinePunct w:val="0"/>
        <w:bidi w:val="0"/>
        <w:snapToGrid/>
        <w:spacing w:line="600" w:lineRule="exact"/>
        <w:ind w:firstLine="643" w:firstLineChars="200"/>
        <w:rPr>
          <w:rFonts w:ascii="Times New Roman" w:hAnsi="Times New Roman" w:eastAsia="仿宋_GB2312" w:cs="Times New Roman"/>
          <w:color w:val="EE0000"/>
          <w:spacing w:val="0"/>
          <w:sz w:val="32"/>
          <w:szCs w:val="32"/>
        </w:rPr>
      </w:pPr>
      <w:r>
        <w:rPr>
          <w:rFonts w:hint="eastAsia" w:ascii="Times New Roman" w:hAnsi="Times New Roman" w:eastAsia="仿宋_GB2312" w:cs="Times New Roman"/>
          <w:b/>
          <w:bCs/>
          <w:spacing w:val="0"/>
          <w:sz w:val="32"/>
          <w:szCs w:val="32"/>
        </w:rPr>
        <w:t>52.</w:t>
      </w:r>
      <w:r>
        <w:rPr>
          <w:rFonts w:hint="default" w:ascii="Times New Roman" w:hAnsi="Times New Roman" w:eastAsia="等线" w:cs="Times New Roman"/>
          <w:spacing w:val="0"/>
          <w:sz w:val="21"/>
          <w:szCs w:val="22"/>
        </w:rPr>
        <w:t xml:space="preserve"> </w:t>
      </w:r>
      <w:r>
        <w:rPr>
          <w:rFonts w:hint="eastAsia" w:ascii="Times New Roman" w:hAnsi="Times New Roman" w:eastAsia="仿宋_GB2312" w:cs="Times New Roman"/>
          <w:b/>
          <w:bCs/>
          <w:spacing w:val="0"/>
          <w:sz w:val="32"/>
          <w:szCs w:val="32"/>
        </w:rPr>
        <w:t>中医防治机制与临床策略研究</w:t>
      </w:r>
      <w:r>
        <w:rPr>
          <w:rFonts w:ascii="Times New Roman" w:hAnsi="Times New Roman" w:eastAsia="仿宋_GB2312" w:cs="Times New Roman"/>
          <w:spacing w:val="0"/>
          <w:sz w:val="32"/>
          <w:szCs w:val="32"/>
        </w:rPr>
        <w:t>（申报学科代码1选择</w:t>
      </w:r>
      <w:r>
        <w:rPr>
          <w:rFonts w:ascii="Times New Roman" w:hAnsi="Times New Roman" w:eastAsia="仿宋_GB2312" w:cs="Times New Roman"/>
          <w:bCs/>
          <w:spacing w:val="0"/>
          <w:sz w:val="32"/>
          <w:szCs w:val="32"/>
        </w:rPr>
        <w:t>H</w:t>
      </w:r>
      <w:r>
        <w:rPr>
          <w:rFonts w:hint="eastAsia" w:ascii="Times New Roman" w:hAnsi="Times New Roman" w:eastAsia="仿宋_GB2312" w:cs="Times New Roman"/>
          <w:bCs/>
          <w:spacing w:val="0"/>
          <w:sz w:val="32"/>
          <w:szCs w:val="32"/>
        </w:rPr>
        <w:t>28、H29、H30</w:t>
      </w:r>
      <w:r>
        <w:rPr>
          <w:rFonts w:ascii="Times New Roman" w:hAnsi="Times New Roman" w:eastAsia="仿宋_GB2312" w:cs="Times New Roman"/>
          <w:spacing w:val="0"/>
          <w:sz w:val="32"/>
          <w:szCs w:val="32"/>
        </w:rPr>
        <w:t>的下属代码）</w:t>
      </w:r>
    </w:p>
    <w:p w14:paraId="5A227AF3">
      <w:pPr>
        <w:keepNext w:val="0"/>
        <w:keepLines w:val="0"/>
        <w:pageBreakBefore w:val="0"/>
        <w:widowControl w:val="0"/>
        <w:kinsoku/>
        <w:wordWrap/>
        <w:overflowPunct/>
        <w:topLinePunct w:val="0"/>
        <w:bidi w:val="0"/>
        <w:snapToGrid/>
        <w:spacing w:line="600" w:lineRule="exact"/>
        <w:ind w:firstLine="643" w:firstLineChars="200"/>
        <w:rPr>
          <w:rFonts w:hint="eastAsia" w:ascii="Times New Roman" w:hAnsi="Times New Roman" w:eastAsia="仿宋_GB2312" w:cs="Times New Roman"/>
          <w:spacing w:val="0"/>
          <w:sz w:val="32"/>
          <w:szCs w:val="32"/>
          <w:lang w:eastAsia="zh-CN"/>
        </w:rPr>
      </w:pPr>
      <w:r>
        <w:rPr>
          <w:rFonts w:ascii="Times New Roman" w:hAnsi="Times New Roman" w:eastAsia="仿宋_GB2312" w:cs="Times New Roman"/>
          <w:b/>
          <w:spacing w:val="0"/>
          <w:sz w:val="32"/>
          <w:szCs w:val="32"/>
        </w:rPr>
        <w:t>研究内容：</w:t>
      </w:r>
      <w:r>
        <w:rPr>
          <w:rFonts w:hint="eastAsia" w:ascii="Times New Roman" w:hAnsi="Times New Roman" w:eastAsia="仿宋_GB2312" w:cs="Times New Roman"/>
          <w:spacing w:val="0"/>
          <w:sz w:val="32"/>
          <w:szCs w:val="32"/>
        </w:rPr>
        <w:t>采用“多组学联合驱动</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深层靶点挖掘</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分子机理验证”的研究策略，全面刻画间歇期中医药干预下心脏、脑内分子网络的动态演化规律；构建中药药效成分</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肠道菌群</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分子靶点调控网络，阐明活性肽调控天然中药自组装的分子机制，解析复方多组分药效的物质基础。</w:t>
      </w:r>
    </w:p>
    <w:p w14:paraId="25431121">
      <w:pPr>
        <w:keepNext w:val="0"/>
        <w:keepLines w:val="0"/>
        <w:pageBreakBefore w:val="0"/>
        <w:widowControl w:val="0"/>
        <w:kinsoku/>
        <w:wordWrap/>
        <w:overflowPunct/>
        <w:topLinePunct w:val="0"/>
        <w:bidi w:val="0"/>
        <w:snapToGrid/>
        <w:spacing w:line="600" w:lineRule="exact"/>
        <w:ind w:firstLine="643" w:firstLineChars="200"/>
        <w:rPr>
          <w:rFonts w:hint="default" w:ascii="Times New Roman" w:hAnsi="Times New Roman" w:eastAsia="等线" w:cs="Times New Roman"/>
          <w:spacing w:val="0"/>
          <w:sz w:val="21"/>
          <w:szCs w:val="22"/>
        </w:rPr>
      </w:pPr>
      <w:r>
        <w:rPr>
          <w:rFonts w:ascii="Times New Roman" w:hAnsi="Times New Roman" w:eastAsia="仿宋_GB2312" w:cs="Times New Roman"/>
          <w:b/>
          <w:spacing w:val="0"/>
          <w:sz w:val="32"/>
          <w:szCs w:val="32"/>
        </w:rPr>
        <w:t>研究目标：</w:t>
      </w:r>
      <w:r>
        <w:rPr>
          <w:rFonts w:hint="eastAsia" w:ascii="Times New Roman" w:hAnsi="Times New Roman" w:eastAsia="仿宋_GB2312" w:cs="Times New Roman"/>
          <w:spacing w:val="0"/>
          <w:sz w:val="32"/>
          <w:szCs w:val="32"/>
        </w:rPr>
        <w:t>明确具有干预潜力的分子靶标1</w:t>
      </w:r>
      <w:r>
        <w:rPr>
          <w:rFonts w:hint="eastAsia" w:ascii="Times New Roman" w:hAnsi="Times New Roman" w:eastAsia="仿宋_GB2312" w:cs="Times New Roman"/>
          <w:spacing w:val="0"/>
          <w:sz w:val="32"/>
          <w:szCs w:val="32"/>
          <w:lang w:eastAsia="zh-CN"/>
        </w:rPr>
        <w:t>—</w:t>
      </w:r>
      <w:r>
        <w:rPr>
          <w:rFonts w:hint="eastAsia" w:ascii="Times New Roman" w:hAnsi="Times New Roman" w:eastAsia="仿宋_GB2312" w:cs="Times New Roman"/>
          <w:spacing w:val="0"/>
          <w:sz w:val="32"/>
          <w:szCs w:val="32"/>
        </w:rPr>
        <w:t>2个；绘制复方核心药效成分图谱1套；研发中医药临床治疗新方法1种</w:t>
      </w:r>
      <w:r>
        <w:rPr>
          <w:rFonts w:ascii="Times New Roman" w:hAnsi="Times New Roman" w:eastAsia="仿宋_GB2312" w:cs="Times New Roman"/>
          <w:spacing w:val="0"/>
          <w:sz w:val="32"/>
          <w:szCs w:val="32"/>
        </w:rPr>
        <w:t>。</w:t>
      </w:r>
    </w:p>
    <w:p w14:paraId="6104C8FC">
      <w:pPr>
        <w:keepNext w:val="0"/>
        <w:keepLines w:val="0"/>
        <w:pageBreakBefore w:val="0"/>
        <w:widowControl w:val="0"/>
        <w:kinsoku/>
        <w:wordWrap/>
        <w:overflowPunct/>
        <w:topLinePunct w:val="0"/>
        <w:bidi w:val="0"/>
        <w:snapToGrid/>
        <w:spacing w:line="600" w:lineRule="exact"/>
        <w:ind w:firstLine="640" w:firstLineChars="200"/>
        <w:rPr>
          <w:rFonts w:hint="default" w:ascii="Times New Roman" w:hAnsi="Times New Roman" w:eastAsia="楷体_GB2312" w:cs="Times New Roman"/>
          <w:spacing w:val="0"/>
          <w:sz w:val="32"/>
          <w:szCs w:val="32"/>
        </w:rPr>
      </w:pPr>
      <w:r>
        <w:rPr>
          <w:rFonts w:hint="default" w:ascii="Times New Roman" w:hAnsi="Times New Roman" w:eastAsia="楷体_GB2312" w:cs="Times New Roman"/>
          <w:spacing w:val="0"/>
          <w:sz w:val="32"/>
          <w:szCs w:val="32"/>
        </w:rPr>
        <w:t>（二）绩效目标</w:t>
      </w:r>
    </w:p>
    <w:p w14:paraId="0354DE9D">
      <w:pPr>
        <w:keepNext w:val="0"/>
        <w:keepLines w:val="0"/>
        <w:pageBreakBefore w:val="0"/>
        <w:widowControl w:val="0"/>
        <w:kinsoku/>
        <w:wordWrap/>
        <w:overflowPunct/>
        <w:topLinePunct w:val="0"/>
        <w:bidi w:val="0"/>
        <w:snapToGrid/>
        <w:spacing w:line="600" w:lineRule="exact"/>
        <w:ind w:firstLine="640" w:firstLineChars="200"/>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申报书正文预期成果要求具体明确，可量化、可考核，项目结项验收不将发表学术论文作为重要评价依据和考核指标，研究成果在临床或实际应用中得到体现或验证作为重要考核指标。</w:t>
      </w:r>
    </w:p>
    <w:p w14:paraId="0B12131B">
      <w:pPr>
        <w:keepNext w:val="0"/>
        <w:keepLines w:val="0"/>
        <w:pageBreakBefore w:val="0"/>
        <w:widowControl w:val="0"/>
        <w:kinsoku/>
        <w:wordWrap/>
        <w:overflowPunct/>
        <w:topLinePunct w:val="0"/>
        <w:bidi w:val="0"/>
        <w:snapToGrid/>
        <w:spacing w:line="600" w:lineRule="exact"/>
        <w:ind w:firstLine="648"/>
        <w:rPr>
          <w:rFonts w:ascii="Times New Roman" w:hAnsi="Times New Roman" w:eastAsia="仿宋_GB2312" w:cs="Times New Roman"/>
          <w:spacing w:val="0"/>
          <w:sz w:val="32"/>
          <w:szCs w:val="32"/>
        </w:rPr>
      </w:pPr>
      <w:r>
        <w:rPr>
          <w:rFonts w:ascii="Times New Roman" w:hAnsi="Times New Roman" w:eastAsia="仿宋_GB2312" w:cs="Times New Roman"/>
          <w:spacing w:val="0"/>
          <w:sz w:val="32"/>
          <w:szCs w:val="32"/>
        </w:rPr>
        <w:t>项目绩效评价考核目标及指标应依照申报书中</w:t>
      </w:r>
      <w:r>
        <w:rPr>
          <w:rFonts w:hint="eastAsia" w:ascii="Times New Roman" w:hAnsi="Times New Roman" w:eastAsia="仿宋_GB2312" w:cs="Times New Roman"/>
          <w:spacing w:val="0"/>
          <w:sz w:val="32"/>
          <w:szCs w:val="32"/>
        </w:rPr>
        <w:t>“预期成果”填</w:t>
      </w:r>
      <w:r>
        <w:rPr>
          <w:rFonts w:ascii="Times New Roman" w:hAnsi="Times New Roman" w:eastAsia="仿宋_GB2312" w:cs="Times New Roman"/>
          <w:spacing w:val="0"/>
          <w:sz w:val="32"/>
          <w:szCs w:val="32"/>
        </w:rPr>
        <w:t>写。考核目标应定性填写项目总体目标和年度目标，考核指标侧重于填写研究成果在临床或实际应用中得到体现或验证，其他指标作为附属指标参考项目绩效评价考核指标目录定量填写。</w:t>
      </w:r>
    </w:p>
    <w:p w14:paraId="54362D1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4FED87-E1DB-42A6-998A-538D2C69E01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FD2E17A5-56DC-4BC5-B153-0EF9386291AB}"/>
  </w:font>
  <w:font w:name="仿宋_GB2312">
    <w:altName w:val="仿宋"/>
    <w:panose1 w:val="02010609030101010101"/>
    <w:charset w:val="86"/>
    <w:family w:val="auto"/>
    <w:pitch w:val="default"/>
    <w:sig w:usb0="00000000" w:usb1="00000000" w:usb2="00000000" w:usb3="00000000" w:csb0="00040000" w:csb1="00000000"/>
    <w:embedRegular r:id="rId3" w:fontKey="{991ED92B-C2DA-48C2-B849-678F339EE821}"/>
  </w:font>
  <w:font w:name="楷体_GB2312">
    <w:altName w:val="楷体"/>
    <w:panose1 w:val="02010609030101010101"/>
    <w:charset w:val="86"/>
    <w:family w:val="modern"/>
    <w:pitch w:val="default"/>
    <w:sig w:usb0="00000000" w:usb1="00000000" w:usb2="00000000" w:usb3="00000000" w:csb0="00040000" w:csb1="00000000"/>
    <w:embedRegular r:id="rId4" w:fontKey="{4A6F58A5-90D9-430C-A99C-9E5D309722D6}"/>
  </w:font>
  <w:font w:name="等线">
    <w:panose1 w:val="02010600030101010101"/>
    <w:charset w:val="86"/>
    <w:family w:val="auto"/>
    <w:pitch w:val="default"/>
    <w:sig w:usb0="A00002BF" w:usb1="38CF7CFA" w:usb2="00000016" w:usb3="00000000" w:csb0="0004000F" w:csb1="00000000"/>
    <w:embedRegular r:id="rId5" w:fontKey="{7C483E3D-7CB8-44DF-BE6A-34DCF911301D}"/>
  </w:font>
  <w:font w:name="仿宋">
    <w:panose1 w:val="02010609060101010101"/>
    <w:charset w:val="86"/>
    <w:family w:val="modern"/>
    <w:pitch w:val="default"/>
    <w:sig w:usb0="800002BF" w:usb1="38CF7CFA" w:usb2="00000016" w:usb3="00000000" w:csb0="00040001" w:csb1="00000000"/>
    <w:embedRegular r:id="rId6" w:fontKey="{2B4195AA-0BB7-4F7D-BD05-26BF60402F61}"/>
  </w:font>
  <w:font w:name="楷体">
    <w:panose1 w:val="02010609060101010101"/>
    <w:charset w:val="86"/>
    <w:family w:val="modern"/>
    <w:pitch w:val="default"/>
    <w:sig w:usb0="800002BF" w:usb1="38CF7CFA" w:usb2="00000016" w:usb3="00000000" w:csb0="00040001" w:csb1="00000000"/>
    <w:embedRegular r:id="rId7" w:fontKey="{23992A05-7D38-4200-8F52-5D64250156A5}"/>
  </w:font>
  <w:font w:name="KSOFE4500885">
    <w:panose1 w:val="02010609060101010101"/>
    <w:charset w:val="86"/>
    <w:family w:val="auto"/>
    <w:pitch w:val="default"/>
    <w:sig w:usb0="00000001" w:usb1="00000000" w:usb2="00000000" w:usb3="00000000" w:csb0="00040001" w:csb1="00000000"/>
  </w:font>
  <w:font w:name="方正小标宋简体">
    <w:panose1 w:val="02000000000000000000"/>
    <w:charset w:val="86"/>
    <w:family w:val="auto"/>
    <w:pitch w:val="default"/>
    <w:sig w:usb0="00000001" w:usb1="08000000" w:usb2="00000000" w:usb3="00000000" w:csb0="00040000" w:csb1="00000000"/>
    <w:embedRegular r:id="rId8" w:fontKey="{71F677B4-9A5D-40EA-AA10-AB5024B4939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D02E88"/>
    <w:rsid w:val="08417F5B"/>
    <w:rsid w:val="75D02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仿宋_GB2312" w:hAnsi="Times New Roman" w:eastAsia="仿宋_GB2312" w:cs="Times New Roman"/>
      <w:spacing w:val="-4"/>
      <w:kern w:val="2"/>
      <w:sz w:val="3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next w:val="1"/>
    <w:qFormat/>
    <w:uiPriority w:val="0"/>
    <w:pPr>
      <w:ind w:left="105" w:leftChars="50" w:firstLine="420" w:firstLineChars="200"/>
    </w:pPr>
    <w:rPr>
      <w:rFonts w:eastAsia="仿宋_GB2312"/>
      <w:sz w:val="32"/>
    </w:rPr>
  </w:style>
  <w:style w:type="paragraph" w:styleId="3">
    <w:name w:val="Body Text Indent"/>
    <w:basedOn w:val="1"/>
    <w:next w:val="4"/>
    <w:qFormat/>
    <w:uiPriority w:val="0"/>
    <w:pPr>
      <w:snapToGrid w:val="0"/>
      <w:spacing w:line="360" w:lineRule="auto"/>
      <w:ind w:left="1680" w:hanging="990"/>
    </w:pPr>
  </w:style>
  <w:style w:type="paragraph" w:styleId="4">
    <w:name w:val="envelope return"/>
    <w:basedOn w:val="1"/>
    <w:next w:val="1"/>
    <w:qFormat/>
    <w:uiPriority w:val="0"/>
    <w:pPr>
      <w:snapToGrid w:val="0"/>
    </w:pPr>
    <w:rPr>
      <w:rFonts w:ascii="Arial" w:hAnsi="Ari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0</Words>
  <Characters>0</Characters>
  <Lines>0</Lines>
  <Paragraphs>0</Paragraphs>
  <TotalTime>1</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2026-10-14T03:37:00Z</dcterms:created>
  <dc:creator>刘耀</dc:creator>
  <cp:lastModifiedBy>刘耀</cp:lastModifiedBy>
  <dcterms:modified xsi:type="dcterms:W3CDTF">2026-10-14T03:39:23Z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8ED6253903934D989E2796A970141485_11</vt:lpwstr>
  </property>
  <property fmtid="{D5CDD505-2E9C-101B-9397-08002B2CF9AE}" pid="4" name="KSOTemplateDocerSaveRecord">
    <vt:lpwstr>eyJoZGlkIjoiOWExNzhlMjJmMzY1ZDdlNWMyODA3Y2JhMzUzZDQ3NTciLCJ1c2VySWQiOiIxOTAyNjI5NjQwIn0=</vt:lpwstr>
  </property>
</Properties>
</file>